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F0ABD" w14:textId="63262345" w:rsidR="003A1AF4" w:rsidRPr="003A1AF4" w:rsidRDefault="003A1AF4" w:rsidP="003A1AF4">
      <w:pPr>
        <w:numPr>
          <w:ilvl w:val="1"/>
          <w:numId w:val="0"/>
        </w:numPr>
        <w:spacing w:before="160"/>
        <w:ind w:left="792" w:hanging="432"/>
        <w:outlineLvl w:val="1"/>
        <w:rPr>
          <w:rFonts w:ascii="Arial" w:eastAsia="Arial" w:hAnsi="Arial" w:cs="Arial"/>
          <w:color w:val="4472C4" w:themeColor="accent1"/>
          <w:kern w:val="36"/>
          <w:sz w:val="32"/>
          <w:szCs w:val="32"/>
        </w:rPr>
      </w:pPr>
      <w:bookmarkStart w:id="0" w:name="_Toc81923589"/>
      <w:bookmarkStart w:id="1" w:name="_Toc81930108"/>
      <w:bookmarkStart w:id="2" w:name="_Toc81942686"/>
      <w:bookmarkStart w:id="3" w:name="_Toc81948381"/>
      <w:bookmarkStart w:id="4" w:name="_Toc82013018"/>
      <w:bookmarkStart w:id="5" w:name="_Toc82071018"/>
      <w:bookmarkStart w:id="6" w:name="_Toc83804999"/>
      <w:bookmarkStart w:id="7" w:name="_Toc89886826"/>
      <w:bookmarkStart w:id="8" w:name="_Toc90028241"/>
      <w:bookmarkStart w:id="9" w:name="_Toc90413176"/>
      <w:bookmarkStart w:id="10" w:name="_Toc145073085"/>
      <w:r>
        <w:rPr>
          <w:rFonts w:ascii="Arial" w:eastAsia="Arial" w:hAnsi="Arial" w:cs="Arial"/>
          <w:color w:val="4472C4" w:themeColor="accent1"/>
          <w:kern w:val="36"/>
          <w:sz w:val="32"/>
          <w:szCs w:val="32"/>
        </w:rPr>
        <w:t xml:space="preserve">8.6 </w:t>
      </w:r>
      <w:r w:rsidRPr="003A1AF4">
        <w:rPr>
          <w:rFonts w:ascii="Arial" w:eastAsia="Arial" w:hAnsi="Arial" w:cs="Arial"/>
          <w:color w:val="4472C4" w:themeColor="accent1"/>
          <w:kern w:val="36"/>
          <w:sz w:val="32"/>
          <w:szCs w:val="32"/>
        </w:rPr>
        <w:t>Attachment F: Response to Statement of Work</w:t>
      </w:r>
      <w:bookmarkEnd w:id="0"/>
      <w:bookmarkEnd w:id="1"/>
      <w:bookmarkEnd w:id="2"/>
      <w:bookmarkEnd w:id="3"/>
      <w:bookmarkEnd w:id="4"/>
      <w:bookmarkEnd w:id="5"/>
      <w:bookmarkEnd w:id="6"/>
      <w:bookmarkEnd w:id="7"/>
      <w:bookmarkEnd w:id="8"/>
      <w:bookmarkEnd w:id="9"/>
      <w:bookmarkEnd w:id="10"/>
    </w:p>
    <w:p w14:paraId="201BAE5B" w14:textId="77777777" w:rsidR="003A1AF4" w:rsidRPr="003A1AF4" w:rsidRDefault="003A1AF4" w:rsidP="003A1AF4">
      <w:pPr>
        <w:spacing w:before="160" w:after="200" w:line="276" w:lineRule="auto"/>
        <w:jc w:val="both"/>
        <w:rPr>
          <w:rFonts w:ascii="Arial" w:eastAsia="Arial" w:hAnsi="Arial" w:cs="Arial"/>
          <w:b/>
          <w:bCs/>
        </w:rPr>
      </w:pPr>
      <w:r w:rsidRPr="003A1AF4">
        <w:rPr>
          <w:rFonts w:ascii="Arial" w:eastAsia="Arial" w:hAnsi="Arial" w:cs="Arial"/>
        </w:rPr>
        <w:t>This section will provide instructions to vendors to respond to the requested services detailed in this RFP.</w:t>
      </w:r>
    </w:p>
    <w:p w14:paraId="60FCADA7" w14:textId="77777777" w:rsidR="003A1AF4" w:rsidRPr="003A1AF4" w:rsidRDefault="003A1AF4" w:rsidP="003A1AF4">
      <w:pPr>
        <w:spacing w:before="160" w:after="200" w:line="276" w:lineRule="auto"/>
        <w:jc w:val="both"/>
        <w:rPr>
          <w:rFonts w:ascii="Arial" w:eastAsia="Arial" w:hAnsi="Arial" w:cs="Arial"/>
        </w:rPr>
      </w:pPr>
      <w:r w:rsidRPr="003A1AF4">
        <w:rPr>
          <w:rFonts w:ascii="Arial" w:eastAsia="Arial" w:hAnsi="Arial" w:cs="Arial"/>
          <w:b/>
          <w:bCs/>
        </w:rPr>
        <w:t>Instructions:</w:t>
      </w:r>
      <w:r w:rsidRPr="003A1AF4">
        <w:rPr>
          <w:rFonts w:ascii="Arial" w:eastAsia="Arial" w:hAnsi="Arial" w:cs="Arial"/>
        </w:rPr>
        <w:t xml:space="preserve"> The responses to each part of the statement of work are required as part of the submitted proposal. Responses will be scored as part of the Technical Proposal Evaluation.  The vendor may also add images or diagrams for each response.  </w:t>
      </w:r>
    </w:p>
    <w:p w14:paraId="589EBC47" w14:textId="77777777" w:rsidR="003A1AF4" w:rsidRPr="003A1AF4" w:rsidRDefault="003A1AF4" w:rsidP="003A1AF4">
      <w:pPr>
        <w:spacing w:before="160" w:after="200" w:line="276" w:lineRule="auto"/>
        <w:jc w:val="center"/>
        <w:rPr>
          <w:rFonts w:ascii="Arial" w:eastAsia="Arial" w:hAnsi="Arial" w:cs="Arial"/>
          <w:b/>
          <w:bCs/>
          <w:sz w:val="28"/>
          <w:szCs w:val="28"/>
          <w:u w:val="single"/>
        </w:rPr>
      </w:pPr>
      <w:r w:rsidRPr="003A1AF4">
        <w:rPr>
          <w:rFonts w:ascii="Arial" w:eastAsia="Arial" w:hAnsi="Arial" w:cs="Arial"/>
          <w:b/>
          <w:bCs/>
          <w:sz w:val="28"/>
          <w:szCs w:val="28"/>
          <w:u w:val="single"/>
        </w:rPr>
        <w:t>Approach to Scope and Requirements Management and Expertise</w:t>
      </w:r>
    </w:p>
    <w:p w14:paraId="5CA9DD1D" w14:textId="77777777" w:rsidR="003A1AF4" w:rsidRPr="003A1AF4" w:rsidRDefault="003A1AF4" w:rsidP="003A1AF4">
      <w:pPr>
        <w:spacing w:after="120" w:line="276" w:lineRule="auto"/>
        <w:ind w:left="360"/>
        <w:jc w:val="both"/>
        <w:rPr>
          <w:rFonts w:ascii="Arial" w:eastAsia="Arial" w:hAnsi="Arial" w:cs="Arial"/>
          <w:b/>
          <w:bCs/>
          <w:sz w:val="24"/>
          <w:szCs w:val="24"/>
        </w:rPr>
      </w:pPr>
      <w:r w:rsidRPr="003A1AF4">
        <w:rPr>
          <w:rFonts w:ascii="Arial" w:eastAsia="Arial" w:hAnsi="Arial" w:cs="Arial"/>
          <w:b/>
          <w:bCs/>
          <w:sz w:val="24"/>
          <w:szCs w:val="24"/>
        </w:rPr>
        <w:t xml:space="preserve">Please describe in narrative form how your organization will meet the following requirements (a-g): </w:t>
      </w:r>
    </w:p>
    <w:p w14:paraId="7B947BE5" w14:textId="77777777" w:rsidR="003A1AF4" w:rsidRPr="003A1AF4" w:rsidRDefault="003A1AF4" w:rsidP="003A1AF4">
      <w:pPr>
        <w:numPr>
          <w:ilvl w:val="1"/>
          <w:numId w:val="2"/>
        </w:numPr>
        <w:spacing w:after="120" w:line="276" w:lineRule="auto"/>
        <w:contextualSpacing/>
        <w:jc w:val="both"/>
        <w:rPr>
          <w:rFonts w:ascii="Arial" w:eastAsia="Arial" w:hAnsi="Arial" w:cs="Arial"/>
        </w:rPr>
      </w:pPr>
      <w:r w:rsidRPr="003A1AF4">
        <w:rPr>
          <w:rFonts w:ascii="Arial" w:eastAsia="Arial" w:hAnsi="Arial" w:cs="Arial"/>
        </w:rPr>
        <w:t xml:space="preserve">Describe the vendor’s capabilities, knowledge and experience performing the services described in </w:t>
      </w:r>
      <w:r w:rsidRPr="003A1AF4">
        <w:rPr>
          <w:rFonts w:ascii="Arial" w:eastAsia="Arial" w:hAnsi="Arial" w:cs="Arial"/>
          <w:b/>
          <w:bCs/>
          <w:u w:val="single"/>
        </w:rPr>
        <w:t>Statement of Work</w:t>
      </w:r>
      <w:r w:rsidRPr="003A1AF4">
        <w:rPr>
          <w:rFonts w:ascii="Arial" w:eastAsia="Arial" w:hAnsi="Arial" w:cs="Arial"/>
        </w:rPr>
        <w:t xml:space="preserve"> of this RFP. </w:t>
      </w:r>
    </w:p>
    <w:p w14:paraId="0A6202A5"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6D0C308E" w14:textId="77777777" w:rsidR="003A1AF4" w:rsidRPr="003A1AF4" w:rsidRDefault="003A1AF4" w:rsidP="003A1AF4">
      <w:pPr>
        <w:numPr>
          <w:ilvl w:val="1"/>
          <w:numId w:val="2"/>
        </w:numPr>
        <w:spacing w:after="120" w:line="276" w:lineRule="auto"/>
        <w:contextualSpacing/>
        <w:jc w:val="both"/>
        <w:rPr>
          <w:rFonts w:ascii="Arial" w:eastAsia="Arial" w:hAnsi="Arial" w:cs="Arial"/>
        </w:rPr>
      </w:pPr>
      <w:r w:rsidRPr="003A1AF4">
        <w:rPr>
          <w:rFonts w:ascii="Arial" w:eastAsia="Arial" w:hAnsi="Arial" w:cs="Arial"/>
        </w:rPr>
        <w:t xml:space="preserve">Describe the vendor’s approach to identifying short-term and long-term work activities. </w:t>
      </w:r>
    </w:p>
    <w:p w14:paraId="07AFB5C5"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ADCF58B" w14:textId="77777777" w:rsidR="003A1AF4" w:rsidRPr="003A1AF4" w:rsidRDefault="003A1AF4" w:rsidP="003A1AF4">
      <w:pPr>
        <w:numPr>
          <w:ilvl w:val="1"/>
          <w:numId w:val="2"/>
        </w:numPr>
        <w:spacing w:after="120" w:line="276" w:lineRule="auto"/>
        <w:contextualSpacing/>
        <w:jc w:val="both"/>
        <w:rPr>
          <w:rFonts w:ascii="Arial" w:eastAsia="Arial" w:hAnsi="Arial" w:cs="Arial"/>
        </w:rPr>
      </w:pPr>
      <w:r w:rsidRPr="003A1AF4">
        <w:rPr>
          <w:rFonts w:ascii="Arial" w:eastAsia="Arial" w:hAnsi="Arial" w:cs="Arial"/>
        </w:rPr>
        <w:t xml:space="preserve">Describe your knowledge and experience with executing the possible assignments for the Services Areas included in the Statement of Work. </w:t>
      </w:r>
    </w:p>
    <w:p w14:paraId="09C4D16E"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5EA32D38" w14:textId="77777777" w:rsidR="003A1AF4" w:rsidRPr="003A1AF4" w:rsidRDefault="003A1AF4" w:rsidP="003A1AF4">
      <w:pPr>
        <w:numPr>
          <w:ilvl w:val="1"/>
          <w:numId w:val="2"/>
        </w:numPr>
        <w:spacing w:after="120" w:line="276" w:lineRule="auto"/>
        <w:contextualSpacing/>
        <w:jc w:val="both"/>
        <w:rPr>
          <w:rFonts w:ascii="Arial" w:eastAsia="Arial" w:hAnsi="Arial" w:cs="Arial"/>
        </w:rPr>
      </w:pPr>
      <w:r w:rsidRPr="003A1AF4">
        <w:rPr>
          <w:rFonts w:ascii="Arial" w:eastAsia="Arial" w:hAnsi="Arial" w:cs="Arial"/>
        </w:rPr>
        <w:t xml:space="preserve">Describe the vendor’s approach toward building relationships and collaborating with PRMP and PRMP staff. </w:t>
      </w:r>
    </w:p>
    <w:p w14:paraId="350AA964"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5113851" w14:textId="77777777" w:rsidR="003A1AF4" w:rsidRPr="003A1AF4" w:rsidRDefault="003A1AF4" w:rsidP="003A1AF4">
      <w:pPr>
        <w:numPr>
          <w:ilvl w:val="1"/>
          <w:numId w:val="2"/>
        </w:numPr>
        <w:spacing w:after="120" w:line="276" w:lineRule="auto"/>
        <w:contextualSpacing/>
        <w:jc w:val="both"/>
        <w:rPr>
          <w:rFonts w:ascii="Arial" w:eastAsia="Arial" w:hAnsi="Arial" w:cs="Arial"/>
        </w:rPr>
      </w:pPr>
      <w:r w:rsidRPr="003A1AF4">
        <w:rPr>
          <w:rFonts w:ascii="Arial" w:eastAsia="Arial" w:hAnsi="Arial" w:cs="Arial"/>
        </w:rPr>
        <w:t xml:space="preserve">Describe your capabilities, </w:t>
      </w:r>
      <w:proofErr w:type="gramStart"/>
      <w:r w:rsidRPr="003A1AF4">
        <w:rPr>
          <w:rFonts w:ascii="Arial" w:eastAsia="Arial" w:hAnsi="Arial" w:cs="Arial"/>
        </w:rPr>
        <w:t>knowledge</w:t>
      </w:r>
      <w:proofErr w:type="gramEnd"/>
      <w:r w:rsidRPr="003A1AF4">
        <w:rPr>
          <w:rFonts w:ascii="Arial" w:eastAsia="Arial" w:hAnsi="Arial" w:cs="Arial"/>
        </w:rPr>
        <w:t xml:space="preserve"> and experience with assisting agencies/organizations with the services requested in this RFP. </w:t>
      </w:r>
    </w:p>
    <w:p w14:paraId="30AA7735"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r w:rsidRPr="003A1AF4">
        <w:rPr>
          <w:rFonts w:ascii="Arial" w:eastAsia="Arial" w:hAnsi="Arial" w:cs="Arial"/>
        </w:rPr>
        <w:t xml:space="preserve"> </w:t>
      </w:r>
    </w:p>
    <w:p w14:paraId="16AC08CB" w14:textId="77777777" w:rsidR="003A1AF4" w:rsidRPr="003A1AF4" w:rsidRDefault="003A1AF4" w:rsidP="003A1AF4">
      <w:pPr>
        <w:numPr>
          <w:ilvl w:val="1"/>
          <w:numId w:val="2"/>
        </w:numPr>
        <w:spacing w:after="120" w:line="276" w:lineRule="auto"/>
        <w:contextualSpacing/>
        <w:jc w:val="both"/>
        <w:rPr>
          <w:rFonts w:ascii="Arial" w:eastAsia="Arial" w:hAnsi="Arial" w:cs="Arial"/>
        </w:rPr>
      </w:pPr>
      <w:r w:rsidRPr="003A1AF4">
        <w:rPr>
          <w:rFonts w:ascii="Arial" w:eastAsia="Arial" w:hAnsi="Arial" w:cs="Arial"/>
        </w:rPr>
        <w:t xml:space="preserve">Describe the overall approach and plan for assessing PRMP, programs and processes, including an illustration of the timeline with key activities, deliverables and milestones that includes the anticipated resource allocations by labor category that will support the proposed plan. </w:t>
      </w:r>
    </w:p>
    <w:p w14:paraId="60DA13BC"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2933F1C8" w14:textId="77777777" w:rsidR="003A1AF4" w:rsidRPr="003A1AF4" w:rsidRDefault="003A1AF4" w:rsidP="003A1AF4">
      <w:pPr>
        <w:numPr>
          <w:ilvl w:val="1"/>
          <w:numId w:val="2"/>
        </w:numPr>
        <w:spacing w:after="120" w:line="276" w:lineRule="auto"/>
        <w:contextualSpacing/>
        <w:jc w:val="both"/>
        <w:rPr>
          <w:rFonts w:ascii="Arial" w:eastAsia="Arial" w:hAnsi="Arial" w:cs="Arial"/>
        </w:rPr>
      </w:pPr>
      <w:r w:rsidRPr="003A1AF4">
        <w:rPr>
          <w:rFonts w:ascii="Arial" w:eastAsia="Arial" w:hAnsi="Arial" w:cs="Arial"/>
        </w:rPr>
        <w:t xml:space="preserve">Describe in detail your Program Management experience with program management tools and processes. Provide recommendations for Program Management tools and how they could be use in PRMP. </w:t>
      </w:r>
    </w:p>
    <w:p w14:paraId="48CF615E"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56D73993" w14:textId="77777777" w:rsidR="003A1AF4" w:rsidRPr="003A1AF4" w:rsidRDefault="003A1AF4" w:rsidP="003A1AF4">
      <w:pPr>
        <w:spacing w:after="120" w:line="276" w:lineRule="auto"/>
        <w:jc w:val="both"/>
        <w:rPr>
          <w:rFonts w:ascii="Arial" w:eastAsia="Arial" w:hAnsi="Arial" w:cs="Arial"/>
        </w:rPr>
      </w:pPr>
    </w:p>
    <w:p w14:paraId="19C8A1DC" w14:textId="3B6134FE" w:rsidR="003A1AF4" w:rsidRPr="003A1AF4" w:rsidRDefault="003A1AF4" w:rsidP="00A40C32">
      <w:pPr>
        <w:numPr>
          <w:ilvl w:val="0"/>
          <w:numId w:val="1"/>
        </w:numPr>
        <w:spacing w:after="120" w:line="276" w:lineRule="auto"/>
        <w:contextualSpacing/>
        <w:jc w:val="both"/>
        <w:rPr>
          <w:rFonts w:ascii="Arial" w:eastAsia="Arial" w:hAnsi="Arial" w:cs="Arial"/>
          <w:b/>
          <w:bCs/>
          <w:sz w:val="24"/>
          <w:szCs w:val="24"/>
        </w:rPr>
      </w:pPr>
      <w:r w:rsidRPr="003A1AF4">
        <w:rPr>
          <w:rFonts w:ascii="Arial" w:eastAsia="Arial" w:hAnsi="Arial" w:cs="Arial"/>
          <w:b/>
          <w:bCs/>
          <w:sz w:val="24"/>
          <w:szCs w:val="24"/>
        </w:rPr>
        <w:t>Please describe the vendor’s knowledge and experience for each item (a-</w:t>
      </w:r>
      <w:r>
        <w:rPr>
          <w:rFonts w:ascii="Arial" w:eastAsia="Arial" w:hAnsi="Arial" w:cs="Arial"/>
          <w:b/>
          <w:bCs/>
          <w:sz w:val="24"/>
          <w:szCs w:val="24"/>
        </w:rPr>
        <w:t>k</w:t>
      </w:r>
      <w:r w:rsidRPr="003A1AF4">
        <w:rPr>
          <w:rFonts w:ascii="Arial" w:eastAsia="Arial" w:hAnsi="Arial" w:cs="Arial"/>
          <w:b/>
          <w:bCs/>
          <w:sz w:val="24"/>
          <w:szCs w:val="24"/>
        </w:rPr>
        <w:t>)</w:t>
      </w:r>
      <w:r w:rsidR="00A40C32">
        <w:rPr>
          <w:rFonts w:ascii="Arial" w:eastAsia="Arial" w:hAnsi="Arial" w:cs="Arial"/>
          <w:b/>
          <w:bCs/>
          <w:sz w:val="24"/>
          <w:szCs w:val="24"/>
        </w:rPr>
        <w:t xml:space="preserve">. </w:t>
      </w:r>
      <w:r w:rsidR="00A40C32" w:rsidRPr="003A1AF4">
        <w:rPr>
          <w:rFonts w:ascii="Arial" w:eastAsia="Arial" w:hAnsi="Arial" w:cs="Arial"/>
          <w:b/>
          <w:bCs/>
          <w:sz w:val="24"/>
          <w:szCs w:val="24"/>
        </w:rPr>
        <w:t xml:space="preserve">Describe the </w:t>
      </w:r>
      <w:r w:rsidR="00A40C32" w:rsidRPr="003A1AF4">
        <w:rPr>
          <w:rFonts w:ascii="Arial" w:eastAsia="Arial" w:hAnsi="Arial" w:cs="Arial"/>
          <w:b/>
          <w:bCs/>
          <w:sz w:val="24"/>
          <w:szCs w:val="24"/>
          <w:u w:val="single"/>
        </w:rPr>
        <w:t>anticipated deliverables for each section</w:t>
      </w:r>
      <w:r w:rsidR="00A40C32" w:rsidRPr="003A1AF4">
        <w:rPr>
          <w:rFonts w:ascii="Arial" w:eastAsia="Arial" w:hAnsi="Arial" w:cs="Arial"/>
          <w:b/>
          <w:bCs/>
          <w:sz w:val="24"/>
          <w:szCs w:val="24"/>
        </w:rPr>
        <w:t xml:space="preserve"> and how your team will </w:t>
      </w:r>
      <w:r w:rsidR="00A40C32" w:rsidRPr="003A1AF4">
        <w:rPr>
          <w:rFonts w:ascii="Arial" w:eastAsia="Arial" w:hAnsi="Arial" w:cs="Arial"/>
          <w:b/>
          <w:bCs/>
          <w:sz w:val="24"/>
          <w:szCs w:val="24"/>
        </w:rPr>
        <w:lastRenderedPageBreak/>
        <w:t xml:space="preserve">perform the work involved toward meeting the requirements in the following Areas: </w:t>
      </w:r>
    </w:p>
    <w:p w14:paraId="40F62626" w14:textId="2E878802" w:rsidR="003A1AF4" w:rsidRPr="00F118CA" w:rsidRDefault="003A1AF4" w:rsidP="003A1AF4">
      <w:pPr>
        <w:numPr>
          <w:ilvl w:val="0"/>
          <w:numId w:val="3"/>
        </w:numPr>
        <w:spacing w:after="0" w:line="240" w:lineRule="auto"/>
        <w:jc w:val="both"/>
        <w:rPr>
          <w:rFonts w:ascii="Arial" w:eastAsia="Arial" w:hAnsi="Arial" w:cs="Arial"/>
          <w:b/>
          <w:bCs/>
          <w:lang w:val="es-ES"/>
        </w:rPr>
      </w:pPr>
      <w:r w:rsidRPr="00F118CA">
        <w:rPr>
          <w:rFonts w:ascii="Arial" w:eastAsia="Arial" w:hAnsi="Arial" w:cs="Arial"/>
          <w:b/>
          <w:bCs/>
          <w:color w:val="000000" w:themeColor="text1"/>
          <w:lang w:val="es-ES"/>
        </w:rPr>
        <w:t>Puerto Rico Enterprise Medic</w:t>
      </w:r>
      <w:r w:rsidR="00F118CA" w:rsidRPr="00F118CA">
        <w:rPr>
          <w:rFonts w:ascii="Arial" w:eastAsia="Arial" w:hAnsi="Arial" w:cs="Arial"/>
          <w:b/>
          <w:bCs/>
          <w:color w:val="000000" w:themeColor="text1"/>
          <w:lang w:val="es-ES"/>
        </w:rPr>
        <w:t>aid</w:t>
      </w:r>
      <w:r w:rsidRPr="00F118CA">
        <w:rPr>
          <w:rFonts w:ascii="Arial" w:eastAsia="Arial" w:hAnsi="Arial" w:cs="Arial"/>
          <w:b/>
          <w:bCs/>
          <w:color w:val="000000" w:themeColor="text1"/>
          <w:lang w:val="es-ES"/>
        </w:rPr>
        <w:t xml:space="preserve"> </w:t>
      </w:r>
      <w:proofErr w:type="spellStart"/>
      <w:r w:rsidRPr="00F118CA">
        <w:rPr>
          <w:rFonts w:ascii="Arial" w:eastAsia="Arial" w:hAnsi="Arial" w:cs="Arial"/>
          <w:b/>
          <w:bCs/>
          <w:color w:val="000000" w:themeColor="text1"/>
          <w:lang w:val="es-ES"/>
        </w:rPr>
        <w:t>System</w:t>
      </w:r>
      <w:proofErr w:type="spellEnd"/>
      <w:r w:rsidRPr="00F118CA">
        <w:rPr>
          <w:rFonts w:ascii="Arial" w:eastAsia="Arial" w:hAnsi="Arial" w:cs="Arial"/>
          <w:b/>
          <w:bCs/>
          <w:color w:val="000000" w:themeColor="text1"/>
          <w:lang w:val="es-ES"/>
        </w:rPr>
        <w:t xml:space="preserve"> (PRMES)</w:t>
      </w:r>
    </w:p>
    <w:p w14:paraId="3E22669B" w14:textId="77777777" w:rsidR="003A1AF4" w:rsidRPr="003A1AF4" w:rsidRDefault="003A1AF4" w:rsidP="003A1AF4">
      <w:pPr>
        <w:numPr>
          <w:ilvl w:val="0"/>
          <w:numId w:val="3"/>
        </w:numPr>
        <w:spacing w:after="0" w:line="240" w:lineRule="auto"/>
        <w:outlineLvl w:val="1"/>
        <w:rPr>
          <w:rFonts w:ascii="Arial" w:eastAsia="Arial" w:hAnsi="Arial" w:cs="Arial"/>
          <w:kern w:val="36"/>
        </w:rPr>
      </w:pPr>
      <w:bookmarkStart w:id="11" w:name="_Toc145073086"/>
      <w:r w:rsidRPr="003A1AF4">
        <w:rPr>
          <w:rFonts w:ascii="Arial" w:eastAsia="Arial" w:hAnsi="Arial" w:cs="Arial"/>
          <w:kern w:val="36"/>
        </w:rPr>
        <w:t>Puerto Rico Medicaid Management Information System (PRMMIS)</w:t>
      </w:r>
      <w:bookmarkEnd w:id="11"/>
    </w:p>
    <w:p w14:paraId="48C72A3D" w14:textId="77777777" w:rsidR="003A1AF4" w:rsidRPr="003A1AF4" w:rsidRDefault="003A1AF4" w:rsidP="003A1AF4">
      <w:pPr>
        <w:numPr>
          <w:ilvl w:val="0"/>
          <w:numId w:val="3"/>
        </w:numPr>
        <w:spacing w:after="0" w:line="240" w:lineRule="auto"/>
        <w:outlineLvl w:val="1"/>
        <w:rPr>
          <w:rFonts w:ascii="Arial" w:eastAsia="Arial" w:hAnsi="Arial" w:cs="Arial"/>
          <w:color w:val="000000" w:themeColor="text1"/>
          <w:kern w:val="36"/>
        </w:rPr>
      </w:pPr>
      <w:bookmarkStart w:id="12" w:name="_Toc145073087"/>
      <w:r w:rsidRPr="003A1AF4">
        <w:rPr>
          <w:rFonts w:ascii="Arial" w:eastAsia="Arial" w:hAnsi="Arial" w:cs="Arial"/>
          <w:kern w:val="36"/>
        </w:rPr>
        <w:t>Provider Enrollment Portal (PEP)</w:t>
      </w:r>
      <w:bookmarkEnd w:id="12"/>
    </w:p>
    <w:p w14:paraId="1BAC4F83" w14:textId="77777777" w:rsidR="003A1AF4" w:rsidRPr="003A1AF4" w:rsidRDefault="003A1AF4" w:rsidP="003A1AF4">
      <w:pPr>
        <w:numPr>
          <w:ilvl w:val="0"/>
          <w:numId w:val="3"/>
        </w:numPr>
        <w:spacing w:after="0" w:line="240" w:lineRule="auto"/>
        <w:outlineLvl w:val="1"/>
        <w:rPr>
          <w:rFonts w:ascii="Arial" w:eastAsia="Arial" w:hAnsi="Arial" w:cs="Arial"/>
          <w:color w:val="000000" w:themeColor="text1"/>
          <w:kern w:val="36"/>
        </w:rPr>
      </w:pPr>
      <w:bookmarkStart w:id="13" w:name="_Toc145073088"/>
      <w:r w:rsidRPr="003A1AF4">
        <w:rPr>
          <w:rFonts w:ascii="Arial" w:eastAsia="Arial" w:hAnsi="Arial" w:cs="Arial"/>
          <w:kern w:val="36"/>
        </w:rPr>
        <w:t>Eligibility and Enrollment (E&amp;E)</w:t>
      </w:r>
      <w:bookmarkEnd w:id="13"/>
      <w:r w:rsidRPr="003A1AF4">
        <w:rPr>
          <w:rFonts w:ascii="Arial" w:eastAsia="Arial" w:hAnsi="Arial" w:cs="Arial"/>
          <w:kern w:val="36"/>
        </w:rPr>
        <w:t xml:space="preserve"> </w:t>
      </w:r>
    </w:p>
    <w:p w14:paraId="3C7316E7" w14:textId="77777777" w:rsidR="003A1AF4" w:rsidRPr="003A1AF4" w:rsidRDefault="003A1AF4" w:rsidP="003A1AF4">
      <w:pPr>
        <w:pStyle w:val="ListParagraph"/>
        <w:numPr>
          <w:ilvl w:val="0"/>
          <w:numId w:val="5"/>
        </w:numPr>
        <w:spacing w:after="0" w:line="240" w:lineRule="auto"/>
        <w:outlineLvl w:val="1"/>
        <w:rPr>
          <w:rFonts w:ascii="Arial" w:eastAsia="Arial" w:hAnsi="Arial" w:cs="Arial"/>
          <w:color w:val="000000" w:themeColor="text1"/>
          <w:kern w:val="36"/>
        </w:rPr>
      </w:pPr>
      <w:bookmarkStart w:id="14" w:name="_Toc145073089"/>
      <w:r w:rsidRPr="003A1AF4">
        <w:rPr>
          <w:rFonts w:ascii="Arial" w:eastAsia="Arial" w:hAnsi="Arial" w:cs="Arial"/>
          <w:kern w:val="36"/>
        </w:rPr>
        <w:t>System known as Medicaid Information Technology Initiative, (MEDITI3G)</w:t>
      </w:r>
      <w:bookmarkEnd w:id="14"/>
      <w:r w:rsidRPr="003A1AF4">
        <w:rPr>
          <w:rFonts w:ascii="Arial" w:eastAsia="Arial" w:hAnsi="Arial" w:cs="Arial"/>
          <w:kern w:val="36"/>
        </w:rPr>
        <w:t xml:space="preserve"> </w:t>
      </w:r>
    </w:p>
    <w:p w14:paraId="26426C3E" w14:textId="77777777" w:rsidR="003A1AF4" w:rsidRPr="003A1AF4" w:rsidRDefault="003A1AF4" w:rsidP="003A1AF4">
      <w:pPr>
        <w:numPr>
          <w:ilvl w:val="0"/>
          <w:numId w:val="3"/>
        </w:numPr>
        <w:spacing w:after="0" w:line="240" w:lineRule="auto"/>
        <w:outlineLvl w:val="1"/>
        <w:rPr>
          <w:rFonts w:ascii="Arial" w:eastAsia="Arial" w:hAnsi="Arial" w:cs="Arial"/>
          <w:color w:val="000000" w:themeColor="text1"/>
          <w:kern w:val="36"/>
        </w:rPr>
      </w:pPr>
      <w:bookmarkStart w:id="15" w:name="_Toc145073090"/>
      <w:r w:rsidRPr="003A1AF4">
        <w:rPr>
          <w:rFonts w:ascii="Arial" w:eastAsia="Arial" w:hAnsi="Arial" w:cs="Arial"/>
          <w:kern w:val="36"/>
        </w:rPr>
        <w:t>The Commonwealth’s Health Information Exchange (HIE)</w:t>
      </w:r>
      <w:bookmarkEnd w:id="15"/>
    </w:p>
    <w:p w14:paraId="5D3F5592" w14:textId="77777777" w:rsidR="003A1AF4" w:rsidRPr="003A1AF4" w:rsidRDefault="003A1AF4" w:rsidP="003A1AF4">
      <w:pPr>
        <w:numPr>
          <w:ilvl w:val="0"/>
          <w:numId w:val="3"/>
        </w:numPr>
        <w:spacing w:after="0" w:line="240" w:lineRule="auto"/>
        <w:outlineLvl w:val="1"/>
        <w:rPr>
          <w:rFonts w:ascii="Arial" w:eastAsia="Arial" w:hAnsi="Arial" w:cs="Arial"/>
          <w:color w:val="000000" w:themeColor="text1"/>
          <w:kern w:val="36"/>
        </w:rPr>
      </w:pPr>
      <w:bookmarkStart w:id="16" w:name="_Toc145073091"/>
      <w:r w:rsidRPr="003A1AF4">
        <w:rPr>
          <w:rFonts w:ascii="Arial" w:eastAsia="Arial" w:hAnsi="Arial" w:cs="Arial"/>
          <w:color w:val="000000" w:themeColor="text1"/>
          <w:kern w:val="36"/>
        </w:rPr>
        <w:t>Procurement Office</w:t>
      </w:r>
      <w:bookmarkEnd w:id="16"/>
    </w:p>
    <w:p w14:paraId="61C2B414" w14:textId="77777777" w:rsidR="003A1AF4" w:rsidRPr="003A1AF4" w:rsidRDefault="003A1AF4" w:rsidP="003A1AF4">
      <w:pPr>
        <w:numPr>
          <w:ilvl w:val="0"/>
          <w:numId w:val="3"/>
        </w:numPr>
        <w:spacing w:after="0" w:line="240" w:lineRule="auto"/>
        <w:outlineLvl w:val="1"/>
        <w:rPr>
          <w:rFonts w:ascii="Arial" w:eastAsia="Arial" w:hAnsi="Arial" w:cs="Arial"/>
          <w:color w:val="000000" w:themeColor="text1"/>
          <w:kern w:val="36"/>
        </w:rPr>
      </w:pPr>
      <w:bookmarkStart w:id="17" w:name="_Toc145073092"/>
      <w:r w:rsidRPr="003A1AF4">
        <w:rPr>
          <w:rFonts w:ascii="Arial" w:eastAsia="Arial" w:hAnsi="Arial" w:cs="Arial"/>
          <w:color w:val="000000" w:themeColor="text1"/>
          <w:kern w:val="36"/>
        </w:rPr>
        <w:t>Program Integrity Unit (PIU)</w:t>
      </w:r>
      <w:bookmarkEnd w:id="17"/>
    </w:p>
    <w:p w14:paraId="05834EA4" w14:textId="77777777" w:rsidR="003A1AF4" w:rsidRPr="003A1AF4" w:rsidRDefault="003A1AF4" w:rsidP="003A1AF4">
      <w:pPr>
        <w:numPr>
          <w:ilvl w:val="0"/>
          <w:numId w:val="3"/>
        </w:numPr>
        <w:spacing w:after="0" w:line="240" w:lineRule="auto"/>
        <w:outlineLvl w:val="1"/>
        <w:rPr>
          <w:rFonts w:ascii="Arial" w:eastAsia="Arial" w:hAnsi="Arial" w:cs="Arial"/>
          <w:color w:val="000000" w:themeColor="text1"/>
          <w:kern w:val="36"/>
        </w:rPr>
      </w:pPr>
      <w:bookmarkStart w:id="18" w:name="_Toc145073093"/>
      <w:r w:rsidRPr="003A1AF4">
        <w:rPr>
          <w:rFonts w:ascii="Arial" w:eastAsia="Arial" w:hAnsi="Arial" w:cs="Arial"/>
          <w:color w:val="000000" w:themeColor="text1"/>
          <w:kern w:val="36"/>
        </w:rPr>
        <w:t>Money Follow the Person Grant (MFP)</w:t>
      </w:r>
      <w:bookmarkEnd w:id="18"/>
      <w:r w:rsidRPr="003A1AF4">
        <w:rPr>
          <w:rFonts w:ascii="Arial" w:eastAsia="Arial" w:hAnsi="Arial" w:cs="Arial"/>
          <w:color w:val="000000" w:themeColor="text1"/>
          <w:kern w:val="36"/>
        </w:rPr>
        <w:t xml:space="preserve"> </w:t>
      </w:r>
    </w:p>
    <w:p w14:paraId="40B07CE2" w14:textId="77777777" w:rsidR="003A1AF4" w:rsidRDefault="003A1AF4" w:rsidP="003A1AF4">
      <w:pPr>
        <w:numPr>
          <w:ilvl w:val="0"/>
          <w:numId w:val="3"/>
        </w:numPr>
        <w:spacing w:after="200" w:line="276" w:lineRule="auto"/>
        <w:contextualSpacing/>
        <w:rPr>
          <w:rFonts w:ascii="Arial" w:hAnsi="Arial" w:cs="Arial"/>
        </w:rPr>
      </w:pPr>
      <w:r w:rsidRPr="003A1AF4">
        <w:rPr>
          <w:rFonts w:ascii="Arial" w:hAnsi="Arial" w:cs="Arial"/>
        </w:rPr>
        <w:t xml:space="preserve">Centralized provider enrollment and credentialing </w:t>
      </w:r>
      <w:r>
        <w:rPr>
          <w:rFonts w:ascii="Arial" w:hAnsi="Arial" w:cs="Arial"/>
        </w:rPr>
        <w:t>(CPEC)</w:t>
      </w:r>
    </w:p>
    <w:p w14:paraId="4E24582C" w14:textId="77777777" w:rsidR="003A1AF4" w:rsidRPr="00F118CA" w:rsidRDefault="003A1AF4" w:rsidP="003A1AF4">
      <w:pPr>
        <w:numPr>
          <w:ilvl w:val="0"/>
          <w:numId w:val="3"/>
        </w:numPr>
        <w:spacing w:after="200" w:line="276" w:lineRule="auto"/>
        <w:contextualSpacing/>
        <w:rPr>
          <w:rFonts w:ascii="Arial" w:hAnsi="Arial" w:cs="Arial"/>
          <w:b/>
          <w:bCs/>
        </w:rPr>
      </w:pPr>
      <w:r w:rsidRPr="00F118CA">
        <w:rPr>
          <w:rFonts w:ascii="Arial" w:hAnsi="Arial" w:cs="Arial"/>
          <w:b/>
          <w:bCs/>
        </w:rPr>
        <w:t>Organizational Change Management (OCM)</w:t>
      </w:r>
    </w:p>
    <w:p w14:paraId="1666364D" w14:textId="7A7531DC" w:rsidR="003A1AF4" w:rsidRPr="00F118CA" w:rsidRDefault="003A1AF4" w:rsidP="003A1AF4">
      <w:pPr>
        <w:numPr>
          <w:ilvl w:val="0"/>
          <w:numId w:val="3"/>
        </w:numPr>
        <w:spacing w:after="200" w:line="276" w:lineRule="auto"/>
        <w:contextualSpacing/>
        <w:rPr>
          <w:rFonts w:ascii="Arial" w:hAnsi="Arial" w:cs="Arial"/>
          <w:b/>
          <w:bCs/>
        </w:rPr>
      </w:pPr>
      <w:r w:rsidRPr="00F118CA">
        <w:rPr>
          <w:rFonts w:ascii="Arial" w:hAnsi="Arial" w:cs="Arial"/>
          <w:b/>
          <w:bCs/>
        </w:rPr>
        <w:t>Enterprise Data Warehouse (EDW)</w:t>
      </w:r>
    </w:p>
    <w:p w14:paraId="787E407C" w14:textId="77777777" w:rsidR="003A1AF4" w:rsidRPr="003A1AF4" w:rsidRDefault="003A1AF4" w:rsidP="003A1AF4">
      <w:pPr>
        <w:spacing w:after="200" w:line="276" w:lineRule="auto"/>
        <w:ind w:left="360"/>
        <w:contextualSpacing/>
        <w:rPr>
          <w:rFonts w:ascii="Arial" w:hAnsi="Arial" w:cs="Arial"/>
        </w:rPr>
      </w:pPr>
    </w:p>
    <w:p w14:paraId="1E7CD494" w14:textId="77777777" w:rsidR="003A1AF4" w:rsidRPr="003A1AF4" w:rsidRDefault="003A1AF4" w:rsidP="003A1AF4">
      <w:pPr>
        <w:numPr>
          <w:ilvl w:val="0"/>
          <w:numId w:val="1"/>
        </w:numPr>
        <w:spacing w:after="120" w:line="276" w:lineRule="auto"/>
        <w:contextualSpacing/>
        <w:jc w:val="both"/>
        <w:rPr>
          <w:rFonts w:ascii="Arial" w:eastAsia="Arial" w:hAnsi="Arial" w:cs="Arial"/>
          <w:b/>
          <w:bCs/>
          <w:sz w:val="24"/>
          <w:szCs w:val="24"/>
        </w:rPr>
      </w:pPr>
      <w:r w:rsidRPr="003A1AF4">
        <w:rPr>
          <w:rFonts w:ascii="Arial" w:eastAsia="Arial" w:hAnsi="Arial" w:cs="Arial"/>
          <w:b/>
          <w:bCs/>
          <w:sz w:val="24"/>
          <w:szCs w:val="24"/>
        </w:rPr>
        <w:t xml:space="preserve">Please describe your knowledge and experience for each item (a-k). Describe the </w:t>
      </w:r>
      <w:r w:rsidRPr="003A1AF4">
        <w:rPr>
          <w:rFonts w:ascii="Arial" w:eastAsia="Arial" w:hAnsi="Arial" w:cs="Arial"/>
          <w:b/>
          <w:bCs/>
          <w:sz w:val="24"/>
          <w:szCs w:val="24"/>
          <w:u w:val="single"/>
        </w:rPr>
        <w:t>anticipated deliverables for each section</w:t>
      </w:r>
      <w:r w:rsidRPr="003A1AF4">
        <w:rPr>
          <w:rFonts w:ascii="Arial" w:eastAsia="Arial" w:hAnsi="Arial" w:cs="Arial"/>
          <w:b/>
          <w:bCs/>
          <w:sz w:val="24"/>
          <w:szCs w:val="24"/>
        </w:rPr>
        <w:t xml:space="preserve"> and how your team will perform the work involved toward meeting the requirements in the following Support Service Areas: </w:t>
      </w:r>
    </w:p>
    <w:p w14:paraId="35F3EB3D" w14:textId="77777777" w:rsidR="003A1AF4" w:rsidRPr="003A1AF4" w:rsidRDefault="003A1AF4" w:rsidP="003A1AF4">
      <w:pPr>
        <w:spacing w:after="120" w:line="276" w:lineRule="auto"/>
        <w:ind w:left="360"/>
        <w:contextualSpacing/>
        <w:jc w:val="both"/>
        <w:rPr>
          <w:rFonts w:ascii="Arial" w:eastAsia="Arial" w:hAnsi="Arial" w:cs="Arial"/>
          <w:b/>
          <w:bCs/>
          <w:sz w:val="24"/>
          <w:szCs w:val="24"/>
        </w:rPr>
      </w:pPr>
    </w:p>
    <w:p w14:paraId="699442D9" w14:textId="77777777" w:rsidR="003A1AF4" w:rsidRPr="003A1AF4" w:rsidRDefault="003A1AF4" w:rsidP="003A1AF4">
      <w:pPr>
        <w:numPr>
          <w:ilvl w:val="0"/>
          <w:numId w:val="4"/>
        </w:numPr>
        <w:spacing w:after="120" w:line="276" w:lineRule="auto"/>
        <w:contextualSpacing/>
        <w:jc w:val="both"/>
        <w:rPr>
          <w:rFonts w:ascii="Arial" w:eastAsia="Arial" w:hAnsi="Arial" w:cs="Arial"/>
        </w:rPr>
      </w:pPr>
      <w:r w:rsidRPr="003A1AF4">
        <w:rPr>
          <w:rFonts w:ascii="Arial" w:eastAsia="Arial" w:hAnsi="Arial" w:cs="Arial"/>
        </w:rPr>
        <w:t xml:space="preserve">Procurement Support </w:t>
      </w:r>
    </w:p>
    <w:p w14:paraId="77D567CE" w14:textId="77777777" w:rsidR="003A1AF4" w:rsidRPr="003A1AF4" w:rsidRDefault="003A1AF4" w:rsidP="003A1AF4">
      <w:pPr>
        <w:numPr>
          <w:ilvl w:val="0"/>
          <w:numId w:val="4"/>
        </w:numPr>
        <w:spacing w:after="120" w:line="276" w:lineRule="auto"/>
        <w:contextualSpacing/>
        <w:jc w:val="both"/>
        <w:rPr>
          <w:rFonts w:ascii="Arial" w:eastAsia="Arial" w:hAnsi="Arial" w:cs="Arial"/>
        </w:rPr>
      </w:pPr>
      <w:r w:rsidRPr="003A1AF4">
        <w:rPr>
          <w:rFonts w:ascii="Arial" w:eastAsia="Arial" w:hAnsi="Arial" w:cs="Arial"/>
        </w:rPr>
        <w:t xml:space="preserve">Advance Planning Documents Support </w:t>
      </w:r>
    </w:p>
    <w:p w14:paraId="50FC3608" w14:textId="77777777" w:rsidR="003A1AF4" w:rsidRPr="003A1AF4" w:rsidRDefault="003A1AF4" w:rsidP="003A1AF4">
      <w:pPr>
        <w:numPr>
          <w:ilvl w:val="0"/>
          <w:numId w:val="4"/>
        </w:numPr>
        <w:spacing w:after="120" w:line="276" w:lineRule="auto"/>
        <w:contextualSpacing/>
        <w:jc w:val="both"/>
        <w:rPr>
          <w:rFonts w:ascii="Arial" w:eastAsia="Arial" w:hAnsi="Arial" w:cs="Arial"/>
        </w:rPr>
      </w:pPr>
      <w:r w:rsidRPr="003A1AF4">
        <w:rPr>
          <w:rFonts w:ascii="Arial" w:eastAsia="Arial" w:hAnsi="Arial" w:cs="Arial"/>
        </w:rPr>
        <w:t xml:space="preserve">MITA SS-A Support </w:t>
      </w:r>
    </w:p>
    <w:p w14:paraId="76B1B5D5" w14:textId="77777777" w:rsidR="003A1AF4" w:rsidRPr="003A1AF4" w:rsidRDefault="003A1AF4" w:rsidP="003A1AF4">
      <w:pPr>
        <w:numPr>
          <w:ilvl w:val="0"/>
          <w:numId w:val="4"/>
        </w:numPr>
        <w:spacing w:after="120" w:line="276" w:lineRule="auto"/>
        <w:contextualSpacing/>
        <w:jc w:val="both"/>
        <w:rPr>
          <w:rFonts w:ascii="Arial" w:eastAsia="Arial" w:hAnsi="Arial" w:cs="Arial"/>
        </w:rPr>
      </w:pPr>
      <w:r w:rsidRPr="003A1AF4">
        <w:rPr>
          <w:rFonts w:ascii="Arial" w:eastAsia="Arial" w:hAnsi="Arial" w:cs="Arial"/>
        </w:rPr>
        <w:t>MES Streamline Modular Certification (SMC) (MES Outcomes-Based Certification (OBC) Support)</w:t>
      </w:r>
    </w:p>
    <w:p w14:paraId="1A999FEC" w14:textId="77777777" w:rsidR="003A1AF4" w:rsidRPr="003A1AF4" w:rsidRDefault="003A1AF4" w:rsidP="003A1AF4">
      <w:pPr>
        <w:numPr>
          <w:ilvl w:val="0"/>
          <w:numId w:val="4"/>
        </w:numPr>
        <w:spacing w:after="120" w:line="276" w:lineRule="auto"/>
        <w:contextualSpacing/>
        <w:jc w:val="both"/>
        <w:rPr>
          <w:rFonts w:ascii="Arial" w:eastAsia="Arial" w:hAnsi="Arial" w:cs="Arial"/>
        </w:rPr>
      </w:pPr>
      <w:r w:rsidRPr="003A1AF4">
        <w:rPr>
          <w:rFonts w:ascii="Arial" w:eastAsia="Arial" w:hAnsi="Arial" w:cs="Arial"/>
          <w:lang w:bidi="en-US"/>
        </w:rPr>
        <w:t>Payment error rate measure (</w:t>
      </w:r>
      <w:r w:rsidRPr="003A1AF4">
        <w:rPr>
          <w:rFonts w:ascii="Arial" w:eastAsia="Arial" w:hAnsi="Arial" w:cs="Arial"/>
        </w:rPr>
        <w:t xml:space="preserve">PERM) Compliance and Implementation Support </w:t>
      </w:r>
    </w:p>
    <w:p w14:paraId="1298D7CF" w14:textId="77777777" w:rsidR="003A1AF4" w:rsidRPr="003A1AF4" w:rsidRDefault="003A1AF4" w:rsidP="003A1AF4">
      <w:pPr>
        <w:numPr>
          <w:ilvl w:val="0"/>
          <w:numId w:val="4"/>
        </w:numPr>
        <w:spacing w:after="120" w:line="276" w:lineRule="auto"/>
        <w:contextualSpacing/>
        <w:jc w:val="both"/>
        <w:rPr>
          <w:rFonts w:ascii="Arial" w:eastAsia="Arial" w:hAnsi="Arial" w:cs="Arial"/>
        </w:rPr>
      </w:pPr>
      <w:r w:rsidRPr="003A1AF4">
        <w:rPr>
          <w:rFonts w:ascii="Arial" w:eastAsia="Arial" w:hAnsi="Arial" w:cs="Arial"/>
        </w:rPr>
        <w:t xml:space="preserve">Integrated MES Program Management (IMES) Support </w:t>
      </w:r>
    </w:p>
    <w:p w14:paraId="0C9BE716" w14:textId="77777777" w:rsidR="003A1AF4" w:rsidRPr="003A1AF4" w:rsidRDefault="003A1AF4" w:rsidP="003A1AF4">
      <w:pPr>
        <w:numPr>
          <w:ilvl w:val="0"/>
          <w:numId w:val="4"/>
        </w:numPr>
        <w:spacing w:before="60" w:after="60" w:line="276" w:lineRule="auto"/>
        <w:contextualSpacing/>
        <w:rPr>
          <w:rFonts w:ascii="Arial" w:eastAsia="Arial" w:hAnsi="Arial" w:cs="Arial"/>
          <w:lang w:bidi="en-US"/>
        </w:rPr>
      </w:pPr>
      <w:r w:rsidRPr="003A1AF4">
        <w:rPr>
          <w:rFonts w:ascii="Arial" w:eastAsia="Arial" w:hAnsi="Arial" w:cs="Arial"/>
        </w:rPr>
        <w:t xml:space="preserve">Spenddown Implementation Support </w:t>
      </w:r>
    </w:p>
    <w:p w14:paraId="53FCE406" w14:textId="77777777" w:rsidR="003A1AF4" w:rsidRPr="003A1AF4" w:rsidRDefault="003A1AF4" w:rsidP="003A1AF4">
      <w:pPr>
        <w:numPr>
          <w:ilvl w:val="0"/>
          <w:numId w:val="4"/>
        </w:numPr>
        <w:spacing w:before="160" w:after="200" w:line="276" w:lineRule="auto"/>
        <w:contextualSpacing/>
        <w:rPr>
          <w:rFonts w:ascii="Arial" w:eastAsia="Arial" w:hAnsi="Arial" w:cs="Arial"/>
        </w:rPr>
      </w:pPr>
      <w:r w:rsidRPr="003A1AF4">
        <w:rPr>
          <w:rFonts w:ascii="Arial" w:eastAsia="Arial" w:hAnsi="Arial" w:cs="Arial"/>
        </w:rPr>
        <w:t xml:space="preserve">State Plan Amendments (SPA) Support </w:t>
      </w:r>
    </w:p>
    <w:p w14:paraId="27C49A64" w14:textId="77777777" w:rsidR="003A1AF4" w:rsidRPr="003A1AF4" w:rsidRDefault="003A1AF4" w:rsidP="003A1AF4">
      <w:pPr>
        <w:numPr>
          <w:ilvl w:val="0"/>
          <w:numId w:val="4"/>
        </w:numPr>
        <w:spacing w:after="60" w:line="276" w:lineRule="auto"/>
        <w:contextualSpacing/>
        <w:rPr>
          <w:rFonts w:ascii="Arial" w:eastAsia="Arial" w:hAnsi="Arial" w:cs="Arial"/>
          <w:lang w:bidi="en-US"/>
        </w:rPr>
      </w:pPr>
      <w:r w:rsidRPr="003A1AF4">
        <w:rPr>
          <w:rFonts w:ascii="Arial" w:eastAsia="Arial" w:hAnsi="Arial" w:cs="Arial"/>
        </w:rPr>
        <w:t xml:space="preserve">Money Follows the Person (MFP) Implementation Planning Support </w:t>
      </w:r>
    </w:p>
    <w:p w14:paraId="3C63AA7F" w14:textId="77777777" w:rsidR="003A1AF4" w:rsidRPr="003A1AF4" w:rsidRDefault="003A1AF4" w:rsidP="003A1AF4">
      <w:pPr>
        <w:numPr>
          <w:ilvl w:val="0"/>
          <w:numId w:val="4"/>
        </w:numPr>
        <w:spacing w:after="60" w:line="276" w:lineRule="auto"/>
        <w:contextualSpacing/>
        <w:rPr>
          <w:rFonts w:ascii="Arial" w:eastAsia="Arial" w:hAnsi="Arial" w:cs="Arial"/>
          <w:lang w:bidi="en-US"/>
        </w:rPr>
      </w:pPr>
      <w:r w:rsidRPr="003A1AF4">
        <w:rPr>
          <w:rFonts w:ascii="Arial" w:eastAsia="Arial" w:hAnsi="Arial" w:cs="Arial"/>
        </w:rPr>
        <w:t xml:space="preserve">Policy updates support </w:t>
      </w:r>
    </w:p>
    <w:p w14:paraId="56909E81" w14:textId="77777777" w:rsidR="003A1AF4" w:rsidRPr="003A1AF4" w:rsidRDefault="003A1AF4" w:rsidP="003A1AF4">
      <w:pPr>
        <w:numPr>
          <w:ilvl w:val="0"/>
          <w:numId w:val="4"/>
        </w:numPr>
        <w:spacing w:before="160" w:after="200" w:line="276" w:lineRule="auto"/>
        <w:contextualSpacing/>
        <w:rPr>
          <w:rFonts w:ascii="Arial" w:eastAsia="Arial" w:hAnsi="Arial" w:cs="Arial"/>
        </w:rPr>
      </w:pPr>
      <w:r w:rsidRPr="003A1AF4">
        <w:rPr>
          <w:rFonts w:ascii="Arial" w:eastAsia="Arial" w:hAnsi="Arial" w:cs="Arial"/>
        </w:rPr>
        <w:t xml:space="preserve">Other EOMC Support </w:t>
      </w:r>
    </w:p>
    <w:p w14:paraId="051DA8F0" w14:textId="77777777" w:rsidR="003A1AF4" w:rsidRPr="003A1AF4" w:rsidRDefault="003A1AF4" w:rsidP="003A1AF4">
      <w:pPr>
        <w:spacing w:before="160" w:line="276" w:lineRule="auto"/>
        <w:ind w:left="360"/>
        <w:contextualSpacing/>
        <w:rPr>
          <w:rFonts w:ascii="Arial" w:eastAsia="Arial" w:hAnsi="Arial" w:cs="Arial"/>
        </w:rPr>
      </w:pPr>
    </w:p>
    <w:p w14:paraId="5DE6AC25" w14:textId="77777777" w:rsidR="003A1AF4" w:rsidRPr="003A1AF4" w:rsidRDefault="003A1AF4" w:rsidP="003A1AF4">
      <w:pPr>
        <w:numPr>
          <w:ilvl w:val="0"/>
          <w:numId w:val="1"/>
        </w:numPr>
        <w:spacing w:after="120" w:line="276" w:lineRule="auto"/>
        <w:contextualSpacing/>
        <w:jc w:val="both"/>
        <w:rPr>
          <w:rFonts w:ascii="Arial" w:eastAsia="Arial" w:hAnsi="Arial" w:cs="Arial"/>
          <w:b/>
          <w:bCs/>
          <w:sz w:val="24"/>
          <w:szCs w:val="24"/>
        </w:rPr>
      </w:pPr>
      <w:r w:rsidRPr="003A1AF4">
        <w:rPr>
          <w:rFonts w:ascii="Arial" w:eastAsia="Arial" w:hAnsi="Arial" w:cs="Arial"/>
          <w:b/>
          <w:bCs/>
          <w:sz w:val="24"/>
          <w:szCs w:val="24"/>
        </w:rPr>
        <w:t xml:space="preserve">Please describe in narrative form how your organization will meet the following Staffing requirements: </w:t>
      </w:r>
    </w:p>
    <w:p w14:paraId="7566E0AE" w14:textId="77777777" w:rsidR="003A1AF4" w:rsidRPr="003A1AF4" w:rsidRDefault="003A1AF4" w:rsidP="003A1AF4">
      <w:pPr>
        <w:spacing w:after="120" w:line="276" w:lineRule="auto"/>
        <w:ind w:left="360"/>
        <w:contextualSpacing/>
        <w:jc w:val="both"/>
        <w:rPr>
          <w:rFonts w:ascii="Arial" w:eastAsia="Arial" w:hAnsi="Arial" w:cs="Arial"/>
        </w:rPr>
      </w:pPr>
    </w:p>
    <w:p w14:paraId="06C659DE"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Provide the names of the proposed staff for each service area, include their qualifications and experience. Describe how the proposed staff are best suited to meet the requirements of this RFP. </w:t>
      </w:r>
    </w:p>
    <w:p w14:paraId="0272476F"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52B201F"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staff will be identified, recruited, and supported by the vendor. </w:t>
      </w:r>
    </w:p>
    <w:p w14:paraId="127C4B50"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456204D1"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the proposed staff will understand their roles and responsibilities based on the requirements described in this RFP. </w:t>
      </w:r>
    </w:p>
    <w:p w14:paraId="5C5FAE13"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lastRenderedPageBreak/>
        <w:t>&lt;Response&gt;</w:t>
      </w:r>
    </w:p>
    <w:p w14:paraId="5DA5FB2C"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back up staff will be designated. </w:t>
      </w:r>
    </w:p>
    <w:p w14:paraId="43A1B2E2"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2D585128"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continuity responsibilities will occur should a staff member need to be replaced. </w:t>
      </w:r>
    </w:p>
    <w:p w14:paraId="302E4931"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ABAB896"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the management structure, staff management process and how talent management support will be provided. </w:t>
      </w:r>
    </w:p>
    <w:p w14:paraId="68483FE3"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36C7C8CC"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In the event a staff remediation plan is requested by the Department, describe how you will provide oversite and manage the remediation plan. </w:t>
      </w:r>
    </w:p>
    <w:p w14:paraId="296F1214"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2515462F" w14:textId="77777777" w:rsidR="003A1AF4" w:rsidRPr="003A1AF4" w:rsidRDefault="003A1AF4" w:rsidP="003A1AF4">
      <w:pPr>
        <w:numPr>
          <w:ilvl w:val="0"/>
          <w:numId w:val="1"/>
        </w:numPr>
        <w:spacing w:after="120" w:line="276" w:lineRule="auto"/>
        <w:contextualSpacing/>
        <w:jc w:val="both"/>
        <w:rPr>
          <w:rFonts w:ascii="Arial" w:eastAsia="Arial" w:hAnsi="Arial" w:cs="Arial"/>
          <w:b/>
          <w:bCs/>
          <w:sz w:val="24"/>
          <w:szCs w:val="24"/>
        </w:rPr>
      </w:pPr>
      <w:r w:rsidRPr="003A1AF4">
        <w:rPr>
          <w:rFonts w:ascii="Arial" w:eastAsia="Arial" w:hAnsi="Arial" w:cs="Arial"/>
          <w:b/>
          <w:bCs/>
          <w:sz w:val="24"/>
          <w:szCs w:val="24"/>
        </w:rPr>
        <w:t xml:space="preserve">Please describe in narrative form how your organization will meet the following requirements: </w:t>
      </w:r>
    </w:p>
    <w:p w14:paraId="3C324667" w14:textId="77777777" w:rsidR="003A1AF4" w:rsidRPr="003A1AF4" w:rsidRDefault="003A1AF4" w:rsidP="003A1AF4">
      <w:pPr>
        <w:spacing w:after="120" w:line="276" w:lineRule="auto"/>
        <w:ind w:left="360"/>
        <w:contextualSpacing/>
        <w:jc w:val="both"/>
        <w:rPr>
          <w:rFonts w:ascii="Arial" w:eastAsia="Arial" w:hAnsi="Arial" w:cs="Arial"/>
        </w:rPr>
      </w:pPr>
    </w:p>
    <w:p w14:paraId="6FC3A246"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what you believe will be the most effective approach to managing the entire contract. </w:t>
      </w:r>
    </w:p>
    <w:p w14:paraId="3F3554DC"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C055874"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SLA will be monitored and reported. </w:t>
      </w:r>
    </w:p>
    <w:p w14:paraId="741F66DA"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3B9BE31"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staffing/resource needs or changes will be managed. </w:t>
      </w:r>
    </w:p>
    <w:p w14:paraId="37C24787"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333EC4E9"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the Communication Plan will include all stakeholders, your approach to stakeholder analysis and how the communications will be managed. </w:t>
      </w:r>
    </w:p>
    <w:p w14:paraId="0A14E156"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r w:rsidRPr="003A1AF4">
        <w:rPr>
          <w:rFonts w:ascii="Arial" w:eastAsia="Arial" w:hAnsi="Arial" w:cs="Arial"/>
        </w:rPr>
        <w:t xml:space="preserve"> </w:t>
      </w:r>
    </w:p>
    <w:p w14:paraId="5E1546AE" w14:textId="77777777" w:rsidR="003A1AF4" w:rsidRPr="003A1AF4" w:rsidRDefault="003A1AF4" w:rsidP="003A1AF4">
      <w:pPr>
        <w:numPr>
          <w:ilvl w:val="0"/>
          <w:numId w:val="1"/>
        </w:numPr>
        <w:spacing w:after="120" w:line="276" w:lineRule="auto"/>
        <w:contextualSpacing/>
        <w:jc w:val="both"/>
        <w:rPr>
          <w:rFonts w:ascii="Arial" w:eastAsia="Arial" w:hAnsi="Arial" w:cs="Arial"/>
          <w:b/>
          <w:bCs/>
          <w:sz w:val="24"/>
          <w:szCs w:val="24"/>
        </w:rPr>
      </w:pPr>
      <w:r w:rsidRPr="003A1AF4">
        <w:rPr>
          <w:rFonts w:ascii="Arial" w:eastAsia="Arial" w:hAnsi="Arial" w:cs="Arial"/>
          <w:b/>
          <w:bCs/>
          <w:sz w:val="24"/>
          <w:szCs w:val="24"/>
        </w:rPr>
        <w:t xml:space="preserve">Please describe in narrative form how your organization will meet the following Security requirements: </w:t>
      </w:r>
    </w:p>
    <w:p w14:paraId="71456204"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you will ensure all staff, including subcontractors, will protect sensitive data. </w:t>
      </w:r>
    </w:p>
    <w:p w14:paraId="0DCE275F"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38C91AFD"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you will ensure data confidentiality. </w:t>
      </w:r>
    </w:p>
    <w:p w14:paraId="161D2D96"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86A8684"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how you will train staff to ensure they understand and observe requirements related to confidentiality included in this RFP. </w:t>
      </w:r>
    </w:p>
    <w:p w14:paraId="29B76A8B"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C7F223F"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your processes if a security breach were to occur (as it relates to this RFP). </w:t>
      </w:r>
    </w:p>
    <w:p w14:paraId="3451BD3A"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3ED53B1A" w14:textId="77777777" w:rsidR="003A1AF4" w:rsidRPr="003A1AF4" w:rsidRDefault="003A1AF4" w:rsidP="003A1AF4">
      <w:pPr>
        <w:numPr>
          <w:ilvl w:val="0"/>
          <w:numId w:val="1"/>
        </w:numPr>
        <w:spacing w:after="120" w:line="276" w:lineRule="auto"/>
        <w:contextualSpacing/>
        <w:jc w:val="both"/>
        <w:rPr>
          <w:rFonts w:ascii="Arial" w:eastAsia="Arial" w:hAnsi="Arial" w:cs="Arial"/>
          <w:b/>
          <w:bCs/>
          <w:sz w:val="24"/>
          <w:szCs w:val="24"/>
        </w:rPr>
      </w:pPr>
      <w:r w:rsidRPr="003A1AF4">
        <w:rPr>
          <w:rFonts w:ascii="Arial" w:eastAsia="Arial" w:hAnsi="Arial" w:cs="Arial"/>
          <w:b/>
          <w:bCs/>
          <w:sz w:val="24"/>
          <w:szCs w:val="24"/>
        </w:rPr>
        <w:lastRenderedPageBreak/>
        <w:t>Please describe in narrative form how your organization will meet the following Transition requirements:</w:t>
      </w:r>
    </w:p>
    <w:p w14:paraId="154936E7" w14:textId="77777777" w:rsidR="003A1AF4" w:rsidRPr="003A1AF4" w:rsidRDefault="003A1AF4" w:rsidP="003A1AF4">
      <w:pPr>
        <w:spacing w:after="120" w:line="276" w:lineRule="auto"/>
        <w:ind w:left="360"/>
        <w:contextualSpacing/>
        <w:jc w:val="both"/>
        <w:rPr>
          <w:rFonts w:ascii="Arial" w:eastAsia="Arial" w:hAnsi="Arial" w:cs="Arial"/>
          <w:sz w:val="24"/>
          <w:szCs w:val="24"/>
        </w:rPr>
      </w:pPr>
    </w:p>
    <w:p w14:paraId="34CC0952"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the activities and methodology to be included in the Transition Plan. </w:t>
      </w:r>
    </w:p>
    <w:p w14:paraId="128E5A9F"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7A373257"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the staff responsible for the transition. </w:t>
      </w:r>
    </w:p>
    <w:p w14:paraId="329336BB" w14:textId="77777777" w:rsidR="003A1AF4" w:rsidRPr="003A1AF4" w:rsidRDefault="003A1AF4" w:rsidP="003A1AF4">
      <w:pPr>
        <w:spacing w:after="120" w:line="276" w:lineRule="auto"/>
        <w:jc w:val="both"/>
        <w:rPr>
          <w:rFonts w:ascii="Arial" w:eastAsia="Arial" w:hAnsi="Arial" w:cs="Arial"/>
        </w:rPr>
      </w:pPr>
      <w:r w:rsidRPr="003A1AF4">
        <w:rPr>
          <w:rFonts w:ascii="Arial" w:eastAsia="Arial" w:hAnsi="Arial" w:cs="Arial"/>
          <w:highlight w:val="lightGray"/>
        </w:rPr>
        <w:t>&lt;Response&gt;</w:t>
      </w:r>
    </w:p>
    <w:p w14:paraId="54A778FA" w14:textId="77777777" w:rsidR="003A1AF4" w:rsidRPr="003A1AF4" w:rsidRDefault="003A1AF4" w:rsidP="003A1AF4">
      <w:pPr>
        <w:numPr>
          <w:ilvl w:val="1"/>
          <w:numId w:val="1"/>
        </w:numPr>
        <w:spacing w:after="120" w:line="276" w:lineRule="auto"/>
        <w:contextualSpacing/>
        <w:jc w:val="both"/>
        <w:rPr>
          <w:rFonts w:ascii="Arial" w:eastAsia="Arial" w:hAnsi="Arial" w:cs="Arial"/>
        </w:rPr>
      </w:pPr>
      <w:r w:rsidRPr="003A1AF4">
        <w:rPr>
          <w:rFonts w:ascii="Arial" w:eastAsia="Arial" w:hAnsi="Arial" w:cs="Arial"/>
        </w:rPr>
        <w:t xml:space="preserve">Describe your approach to maintaining the Documentation Repository during Transition. </w:t>
      </w:r>
    </w:p>
    <w:p w14:paraId="1AF60F4C" w14:textId="77777777" w:rsidR="00A9320F" w:rsidRDefault="00A9320F"/>
    <w:sectPr w:rsidR="00A932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E386" w14:textId="77777777" w:rsidR="00D066BD" w:rsidRDefault="00D066BD" w:rsidP="00BE67E1">
      <w:pPr>
        <w:spacing w:after="0" w:line="240" w:lineRule="auto"/>
      </w:pPr>
      <w:r>
        <w:separator/>
      </w:r>
    </w:p>
  </w:endnote>
  <w:endnote w:type="continuationSeparator" w:id="0">
    <w:p w14:paraId="4AE31B20" w14:textId="77777777" w:rsidR="00D066BD" w:rsidRDefault="00D066BD" w:rsidP="00BE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357588"/>
      <w:docPartObj>
        <w:docPartGallery w:val="Page Numbers (Bottom of Page)"/>
        <w:docPartUnique/>
      </w:docPartObj>
    </w:sdtPr>
    <w:sdtEndPr>
      <w:rPr>
        <w:noProof/>
      </w:rPr>
    </w:sdtEndPr>
    <w:sdtContent>
      <w:p w14:paraId="1FB30B01" w14:textId="7589F429" w:rsidR="00BE67E1" w:rsidRDefault="00BE67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086DD4" w14:textId="77777777" w:rsidR="00BE67E1" w:rsidRDefault="00BE6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F418" w14:textId="77777777" w:rsidR="00D066BD" w:rsidRDefault="00D066BD" w:rsidP="00BE67E1">
      <w:pPr>
        <w:spacing w:after="0" w:line="240" w:lineRule="auto"/>
      </w:pPr>
      <w:r>
        <w:separator/>
      </w:r>
    </w:p>
  </w:footnote>
  <w:footnote w:type="continuationSeparator" w:id="0">
    <w:p w14:paraId="01047CCB" w14:textId="77777777" w:rsidR="00D066BD" w:rsidRDefault="00D066BD" w:rsidP="00BE6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B1DE" w14:textId="55909DEA" w:rsidR="00BE67E1" w:rsidRPr="00BE67E1" w:rsidRDefault="00F118CA">
    <w:pPr>
      <w:pStyle w:val="Header"/>
      <w:rPr>
        <w:rFonts w:ascii="Arial" w:hAnsi="Arial" w:cs="Arial"/>
        <w:b/>
        <w:bCs/>
      </w:rPr>
    </w:pPr>
    <w:r>
      <w:rPr>
        <w:rFonts w:ascii="Arial" w:hAnsi="Arial" w:cs="Arial"/>
        <w:b/>
        <w:bCs/>
      </w:rPr>
      <w:t xml:space="preserve">Amendment 4 - </w:t>
    </w:r>
    <w:r w:rsidR="00BE67E1" w:rsidRPr="00BE67E1">
      <w:rPr>
        <w:rFonts w:ascii="Arial" w:hAnsi="Arial" w:cs="Arial"/>
        <w:b/>
        <w:bCs/>
      </w:rPr>
      <w:t>Attachment F: Response to Statement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70D18"/>
    <w:multiLevelType w:val="hybridMultilevel"/>
    <w:tmpl w:val="5C0A8178"/>
    <w:lvl w:ilvl="0" w:tplc="67045994">
      <w:start w:val="1"/>
      <w:numFmt w:val="decimal"/>
      <w:lvlText w:val="%1."/>
      <w:lvlJc w:val="left"/>
      <w:pPr>
        <w:ind w:left="720" w:hanging="360"/>
      </w:pPr>
    </w:lvl>
    <w:lvl w:ilvl="1" w:tplc="F54E438E">
      <w:start w:val="1"/>
      <w:numFmt w:val="lowerLetter"/>
      <w:lvlText w:val="%2."/>
      <w:lvlJc w:val="left"/>
      <w:pPr>
        <w:ind w:left="1440" w:hanging="360"/>
      </w:pPr>
    </w:lvl>
    <w:lvl w:ilvl="2" w:tplc="33E09278">
      <w:start w:val="1"/>
      <w:numFmt w:val="lowerRoman"/>
      <w:lvlText w:val="%3."/>
      <w:lvlJc w:val="right"/>
      <w:pPr>
        <w:ind w:left="2160" w:hanging="180"/>
      </w:pPr>
    </w:lvl>
    <w:lvl w:ilvl="3" w:tplc="8CBC6AB4">
      <w:start w:val="1"/>
      <w:numFmt w:val="decimal"/>
      <w:lvlText w:val="%4."/>
      <w:lvlJc w:val="left"/>
      <w:pPr>
        <w:ind w:left="2880" w:hanging="360"/>
      </w:pPr>
    </w:lvl>
    <w:lvl w:ilvl="4" w:tplc="072A2E34">
      <w:start w:val="1"/>
      <w:numFmt w:val="lowerLetter"/>
      <w:lvlText w:val="%5."/>
      <w:lvlJc w:val="left"/>
      <w:pPr>
        <w:ind w:left="3600" w:hanging="360"/>
      </w:pPr>
    </w:lvl>
    <w:lvl w:ilvl="5" w:tplc="E402B3EA">
      <w:start w:val="1"/>
      <w:numFmt w:val="lowerRoman"/>
      <w:lvlText w:val="%6."/>
      <w:lvlJc w:val="right"/>
      <w:pPr>
        <w:ind w:left="4320" w:hanging="180"/>
      </w:pPr>
    </w:lvl>
    <w:lvl w:ilvl="6" w:tplc="A1408E1C">
      <w:start w:val="1"/>
      <w:numFmt w:val="decimal"/>
      <w:lvlText w:val="%7."/>
      <w:lvlJc w:val="left"/>
      <w:pPr>
        <w:ind w:left="5040" w:hanging="360"/>
      </w:pPr>
    </w:lvl>
    <w:lvl w:ilvl="7" w:tplc="74E845A4">
      <w:start w:val="1"/>
      <w:numFmt w:val="lowerLetter"/>
      <w:lvlText w:val="%8."/>
      <w:lvlJc w:val="left"/>
      <w:pPr>
        <w:ind w:left="5760" w:hanging="360"/>
      </w:pPr>
    </w:lvl>
    <w:lvl w:ilvl="8" w:tplc="1384EB66">
      <w:start w:val="1"/>
      <w:numFmt w:val="lowerRoman"/>
      <w:lvlText w:val="%9."/>
      <w:lvlJc w:val="right"/>
      <w:pPr>
        <w:ind w:left="6480" w:hanging="180"/>
      </w:pPr>
    </w:lvl>
  </w:abstractNum>
  <w:abstractNum w:abstractNumId="1" w15:restartNumberingAfterBreak="0">
    <w:nsid w:val="4A573F10"/>
    <w:multiLevelType w:val="hybridMultilevel"/>
    <w:tmpl w:val="303CDF40"/>
    <w:lvl w:ilvl="0" w:tplc="E5E66446">
      <w:start w:val="1"/>
      <w:numFmt w:val="decimal"/>
      <w:lvlText w:val="%1."/>
      <w:lvlJc w:val="left"/>
      <w:pPr>
        <w:ind w:left="360" w:hanging="360"/>
      </w:pPr>
    </w:lvl>
    <w:lvl w:ilvl="1" w:tplc="3B2C93A2">
      <w:start w:val="1"/>
      <w:numFmt w:val="lowerLetter"/>
      <w:lvlText w:val="%2."/>
      <w:lvlJc w:val="left"/>
      <w:pPr>
        <w:ind w:left="1080" w:hanging="360"/>
      </w:pPr>
    </w:lvl>
    <w:lvl w:ilvl="2" w:tplc="4A82D4E4">
      <w:start w:val="1"/>
      <w:numFmt w:val="lowerRoman"/>
      <w:lvlText w:val="%3."/>
      <w:lvlJc w:val="right"/>
      <w:pPr>
        <w:ind w:left="1800" w:hanging="180"/>
      </w:pPr>
    </w:lvl>
    <w:lvl w:ilvl="3" w:tplc="C4A0A03E">
      <w:start w:val="1"/>
      <w:numFmt w:val="decimal"/>
      <w:lvlText w:val="%4."/>
      <w:lvlJc w:val="left"/>
      <w:pPr>
        <w:ind w:left="2520" w:hanging="360"/>
      </w:pPr>
    </w:lvl>
    <w:lvl w:ilvl="4" w:tplc="173CB33A">
      <w:start w:val="1"/>
      <w:numFmt w:val="lowerLetter"/>
      <w:lvlText w:val="%5."/>
      <w:lvlJc w:val="left"/>
      <w:pPr>
        <w:ind w:left="3240" w:hanging="360"/>
      </w:pPr>
    </w:lvl>
    <w:lvl w:ilvl="5" w:tplc="6012F2A0">
      <w:start w:val="1"/>
      <w:numFmt w:val="lowerRoman"/>
      <w:lvlText w:val="%6."/>
      <w:lvlJc w:val="right"/>
      <w:pPr>
        <w:ind w:left="3960" w:hanging="180"/>
      </w:pPr>
    </w:lvl>
    <w:lvl w:ilvl="6" w:tplc="AAA6245E">
      <w:start w:val="1"/>
      <w:numFmt w:val="decimal"/>
      <w:lvlText w:val="%7."/>
      <w:lvlJc w:val="left"/>
      <w:pPr>
        <w:ind w:left="4680" w:hanging="360"/>
      </w:pPr>
    </w:lvl>
    <w:lvl w:ilvl="7" w:tplc="7F50946C">
      <w:start w:val="1"/>
      <w:numFmt w:val="lowerLetter"/>
      <w:lvlText w:val="%8."/>
      <w:lvlJc w:val="left"/>
      <w:pPr>
        <w:ind w:left="5400" w:hanging="360"/>
      </w:pPr>
    </w:lvl>
    <w:lvl w:ilvl="8" w:tplc="7858417C">
      <w:start w:val="1"/>
      <w:numFmt w:val="lowerRoman"/>
      <w:lvlText w:val="%9."/>
      <w:lvlJc w:val="right"/>
      <w:pPr>
        <w:ind w:left="6120" w:hanging="180"/>
      </w:pPr>
    </w:lvl>
  </w:abstractNum>
  <w:abstractNum w:abstractNumId="2" w15:restartNumberingAfterBreak="0">
    <w:nsid w:val="5E3553F2"/>
    <w:multiLevelType w:val="hybridMultilevel"/>
    <w:tmpl w:val="288C06AA"/>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6CE01E86"/>
    <w:multiLevelType w:val="hybridMultilevel"/>
    <w:tmpl w:val="394A44B6"/>
    <w:lvl w:ilvl="0" w:tplc="4DCABF04">
      <w:start w:val="1"/>
      <w:numFmt w:val="lowerLetter"/>
      <w:lvlText w:val="%1."/>
      <w:lvlJc w:val="left"/>
      <w:pPr>
        <w:ind w:left="360" w:hanging="360"/>
      </w:pPr>
      <w:rPr>
        <w:rFonts w:ascii="Arial" w:eastAsia="Arial"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6D7738B9"/>
    <w:multiLevelType w:val="hybridMultilevel"/>
    <w:tmpl w:val="A44A1FF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023672"/>
    <w:multiLevelType w:val="hybridMultilevel"/>
    <w:tmpl w:val="987A1868"/>
    <w:lvl w:ilvl="0" w:tplc="04090001">
      <w:start w:val="1"/>
      <w:numFmt w:val="bullet"/>
      <w:lvlText w:val=""/>
      <w:lvlJc w:val="left"/>
      <w:pPr>
        <w:ind w:left="360" w:hanging="360"/>
      </w:pPr>
      <w:rPr>
        <w:rFonts w:ascii="Symbol" w:hAnsi="Symbol" w:hint="default"/>
        <w:color w:val="auto"/>
      </w:rPr>
    </w:lvl>
    <w:lvl w:ilvl="1" w:tplc="04090019">
      <w:start w:val="1"/>
      <w:numFmt w:val="lowerLetter"/>
      <w:lvlText w:val="%2."/>
      <w:lvlJc w:val="left"/>
      <w:pPr>
        <w:ind w:left="144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936908880">
    <w:abstractNumId w:val="1"/>
  </w:num>
  <w:num w:numId="2" w16cid:durableId="1993483318">
    <w:abstractNumId w:val="5"/>
  </w:num>
  <w:num w:numId="3" w16cid:durableId="1707827471">
    <w:abstractNumId w:val="3"/>
  </w:num>
  <w:num w:numId="4" w16cid:durableId="1054350696">
    <w:abstractNumId w:val="2"/>
  </w:num>
  <w:num w:numId="5" w16cid:durableId="160629735">
    <w:abstractNumId w:val="4"/>
  </w:num>
  <w:num w:numId="6" w16cid:durableId="84159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F4"/>
    <w:rsid w:val="003A1AF4"/>
    <w:rsid w:val="00764663"/>
    <w:rsid w:val="00A40C32"/>
    <w:rsid w:val="00A9320F"/>
    <w:rsid w:val="00AF1E26"/>
    <w:rsid w:val="00BC390B"/>
    <w:rsid w:val="00BE67E1"/>
    <w:rsid w:val="00D066BD"/>
    <w:rsid w:val="00F1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FB5E5"/>
  <w15:chartTrackingRefBased/>
  <w15:docId w15:val="{51CD25CE-4487-4F8A-86AE-A781BA96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
    <w:basedOn w:val="Normal"/>
    <w:link w:val="ListParagraphChar"/>
    <w:uiPriority w:val="34"/>
    <w:qFormat/>
    <w:rsid w:val="003A1AF4"/>
    <w:pPr>
      <w:ind w:left="720"/>
      <w:contextualSpacing/>
    </w:p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3A1AF4"/>
  </w:style>
  <w:style w:type="paragraph" w:styleId="Header">
    <w:name w:val="header"/>
    <w:basedOn w:val="Normal"/>
    <w:link w:val="HeaderChar"/>
    <w:uiPriority w:val="99"/>
    <w:unhideWhenUsed/>
    <w:rsid w:val="00BE6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E1"/>
  </w:style>
  <w:style w:type="paragraph" w:styleId="Footer">
    <w:name w:val="footer"/>
    <w:basedOn w:val="Normal"/>
    <w:link w:val="FooterChar"/>
    <w:uiPriority w:val="99"/>
    <w:unhideWhenUsed/>
    <w:rsid w:val="00BE6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Alonso Ortiz</dc:creator>
  <cp:keywords/>
  <dc:description/>
  <cp:lastModifiedBy>Elizabeth Otero Martinez</cp:lastModifiedBy>
  <cp:revision>2</cp:revision>
  <dcterms:created xsi:type="dcterms:W3CDTF">2023-09-25T17:55:00Z</dcterms:created>
  <dcterms:modified xsi:type="dcterms:W3CDTF">2023-09-25T17:55:00Z</dcterms:modified>
</cp:coreProperties>
</file>