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8B61D5E" w14:textId="1B0CCCD0" w:rsidR="004E35F0" w:rsidRPr="008341E2" w:rsidRDefault="004E35F0" w:rsidP="00952020">
      <w:pPr>
        <w:pStyle w:val="Heading2"/>
        <w:pageBreakBefore/>
        <w:spacing w:before="160" w:after="160" w:line="276" w:lineRule="auto"/>
        <w:jc w:val="both"/>
        <w:rPr>
          <w:rFonts w:ascii="Ondo" w:hAnsi="Ondo" w:cstheme="minorBidi"/>
          <w:sz w:val="28"/>
          <w:szCs w:val="28"/>
        </w:rPr>
      </w:pPr>
      <w:bookmarkStart w:id="0" w:name="_Toc155013969"/>
      <w:bookmarkStart w:id="1" w:name="_Toc150273288"/>
      <w:bookmarkStart w:id="2" w:name="_Toc151389133"/>
      <w:r w:rsidRPr="008341E2">
        <w:rPr>
          <w:rFonts w:ascii="Ondo" w:hAnsi="Ondo" w:cstheme="minorBidi"/>
          <w:sz w:val="28"/>
          <w:szCs w:val="28"/>
        </w:rPr>
        <w:t>Attachment E: Mandatory Specifications</w:t>
      </w:r>
      <w:bookmarkEnd w:id="0"/>
      <w:bookmarkEnd w:id="1"/>
      <w:bookmarkEnd w:id="2"/>
    </w:p>
    <w:p w14:paraId="61E46271" w14:textId="00ACD85C" w:rsidR="004E35F0" w:rsidRPr="008341E2" w:rsidRDefault="004E35F0" w:rsidP="00952020">
      <w:pPr>
        <w:pStyle w:val="Heading3"/>
        <w:spacing w:before="160" w:after="160" w:line="276" w:lineRule="auto"/>
        <w:jc w:val="both"/>
        <w:rPr>
          <w:rFonts w:ascii="Ondo" w:hAnsi="Ondo" w:cstheme="minorBidi"/>
          <w:sz w:val="26"/>
          <w:szCs w:val="26"/>
        </w:rPr>
      </w:pPr>
      <w:bookmarkStart w:id="3" w:name="_Toc1709751644"/>
      <w:bookmarkStart w:id="4" w:name="_Submission_Requirements_"/>
      <w:bookmarkStart w:id="5" w:name="_Toc150273289"/>
      <w:bookmarkStart w:id="6" w:name="_Toc151389134"/>
      <w:r w:rsidRPr="008341E2">
        <w:rPr>
          <w:rFonts w:ascii="Ondo" w:hAnsi="Ondo" w:cstheme="minorBidi"/>
          <w:sz w:val="26"/>
          <w:szCs w:val="26"/>
        </w:rPr>
        <w:t>Submission Requirements</w:t>
      </w:r>
      <w:bookmarkEnd w:id="3"/>
      <w:bookmarkEnd w:id="4"/>
      <w:bookmarkEnd w:id="5"/>
      <w:bookmarkEnd w:id="6"/>
    </w:p>
    <w:p w14:paraId="06738E07" w14:textId="63F7B55E" w:rsidR="004E35F0" w:rsidRPr="00836F86" w:rsidRDefault="007764F0" w:rsidP="00952020">
      <w:pPr>
        <w:pStyle w:val="BodyText"/>
        <w:spacing w:before="160" w:after="160"/>
        <w:jc w:val="both"/>
        <w:rPr>
          <w:rFonts w:asciiTheme="minorHAnsi" w:hAnsiTheme="minorHAnsi"/>
          <w:sz w:val="26"/>
          <w:szCs w:val="26"/>
        </w:rPr>
      </w:pPr>
      <w:r w:rsidRPr="009A39FF">
        <w:t>This RFP includes multiple sections that specify proposal submission requirements</w:t>
      </w:r>
      <w:r w:rsidR="004464EF">
        <w:t>,</w:t>
      </w:r>
      <w:r w:rsidRPr="009A39FF">
        <w:t xml:space="preserve"> including</w:t>
      </w:r>
      <w:r w:rsidR="004464EF">
        <w:t>,</w:t>
      </w:r>
      <w:r w:rsidRPr="009A39FF">
        <w:t xml:space="preserve"> but not limited to</w:t>
      </w:r>
      <w:r w:rsidR="00CF453F">
        <w:t>,</w:t>
      </w:r>
      <w:r w:rsidRPr="009A39FF">
        <w:t xml:space="preserve"> </w:t>
      </w:r>
      <w:r w:rsidRPr="00384025">
        <w:rPr>
          <w:rFonts w:asciiTheme="minorHAnsi" w:hAnsiTheme="minorHAnsi" w:cstheme="minorHAnsi"/>
          <w:b/>
        </w:rPr>
        <w:t>1.3 RFP Timeline</w:t>
      </w:r>
      <w:r w:rsidRPr="009A39FF">
        <w:rPr>
          <w:b/>
        </w:rPr>
        <w:t xml:space="preserve">, </w:t>
      </w:r>
      <w:r w:rsidRPr="00384025">
        <w:rPr>
          <w:rFonts w:asciiTheme="minorHAnsi" w:hAnsiTheme="minorHAnsi" w:cstheme="minorHAnsi"/>
          <w:b/>
        </w:rPr>
        <w:t>3.11 Proposal Submittal and Instructions</w:t>
      </w:r>
      <w:r w:rsidRPr="009A39FF">
        <w:rPr>
          <w:b/>
        </w:rPr>
        <w:t xml:space="preserve">, </w:t>
      </w:r>
      <w:r w:rsidRPr="009A39FF">
        <w:t xml:space="preserve">and </w:t>
      </w:r>
      <w:r w:rsidRPr="00384025">
        <w:rPr>
          <w:rFonts w:asciiTheme="minorHAnsi" w:hAnsiTheme="minorHAnsi" w:cstheme="minorHAnsi"/>
          <w:b/>
        </w:rPr>
        <w:t>7. Attachments</w:t>
      </w:r>
      <w:r w:rsidRPr="00384025">
        <w:rPr>
          <w:rFonts w:asciiTheme="minorHAnsi" w:hAnsiTheme="minorHAnsi" w:cstheme="minorHAnsi"/>
        </w:rPr>
        <w:t>.</w:t>
      </w:r>
      <w:r w:rsidRPr="009A39FF">
        <w:t xml:space="preserve"> The vendor must at least meet all proposal submission requirements as part of this RFP, including</w:t>
      </w:r>
      <w:r w:rsidR="00F630B9">
        <w:t>,</w:t>
      </w:r>
      <w:r w:rsidRPr="009A39FF">
        <w:t xml:space="preserve"> but not limited to</w:t>
      </w:r>
      <w:r w:rsidR="00F630B9">
        <w:t>,</w:t>
      </w:r>
      <w:r w:rsidRPr="009A39FF">
        <w:t xml:space="preserve"> formatting, completeness, timeliness, and accuracy, as described in the </w:t>
      </w:r>
      <w:r w:rsidR="00412E2D" w:rsidRPr="009A39FF">
        <w:t>sections</w:t>
      </w:r>
      <w:r w:rsidRPr="009A39FF">
        <w:t xml:space="preserve">. Failure to meet any of the submission requirements of this RFP may result in disqualification of a proposal, </w:t>
      </w:r>
      <w:bookmarkStart w:id="7" w:name="_Hlk112761059"/>
      <w:r w:rsidRPr="009A39FF">
        <w:t xml:space="preserve">in accordance with </w:t>
      </w:r>
      <w:bookmarkStart w:id="8" w:name="_Toc2076175825"/>
      <w:bookmarkStart w:id="9" w:name="_Mandatory_Requirements"/>
      <w:bookmarkEnd w:id="7"/>
      <w:r w:rsidR="004E35F0" w:rsidRPr="00D64515">
        <w:rPr>
          <w:rFonts w:asciiTheme="minorHAnsi" w:hAnsiTheme="minorHAnsi"/>
        </w:rPr>
        <w:t>Mandatory Requirements</w:t>
      </w:r>
      <w:bookmarkEnd w:id="8"/>
      <w:bookmarkEnd w:id="9"/>
      <w:r w:rsidR="00D64515">
        <w:rPr>
          <w:rFonts w:asciiTheme="minorHAnsi" w:hAnsiTheme="minorHAnsi"/>
        </w:rPr>
        <w:t>.</w:t>
      </w:r>
    </w:p>
    <w:p w14:paraId="0AD50D9E" w14:textId="4AAC0089" w:rsidR="00061392" w:rsidRPr="009A39FF" w:rsidRDefault="00061392" w:rsidP="00952020">
      <w:pPr>
        <w:pStyle w:val="BodyText"/>
        <w:spacing w:before="160" w:after="160"/>
        <w:jc w:val="both"/>
      </w:pPr>
      <w:r w:rsidRPr="009A39FF">
        <w:t xml:space="preserve">Vendors must provide a response to each of the following mandatory requirements. Vendor responses will then be verified by the PRMP </w:t>
      </w:r>
      <w:r w:rsidR="002E1295" w:rsidRPr="009A39FF">
        <w:t>to</w:t>
      </w:r>
      <w:r w:rsidRPr="009A39FF">
        <w:t xml:space="preserve"> establish and maintain compliance between the PRMP and the </w:t>
      </w:r>
      <w:r w:rsidR="00E56FCA">
        <w:t>HIE</w:t>
      </w:r>
      <w:r w:rsidRPr="009A39FF">
        <w:t xml:space="preserve"> vendor.</w:t>
      </w:r>
      <w:r>
        <w:t xml:space="preserve"> </w:t>
      </w:r>
      <w:r w:rsidRPr="0042584B">
        <w:t>The first section requires initialing and narrative explanation</w:t>
      </w:r>
      <w:r>
        <w:t xml:space="preserve">. </w:t>
      </w:r>
      <w:r w:rsidRPr="0042584B">
        <w:t>The second section does not require narrative explanation; however, the vendor must still include and initial these mandatory requirements as part of their proposal.</w:t>
      </w:r>
    </w:p>
    <w:p w14:paraId="2A782B8F" w14:textId="01CA7D17" w:rsidR="00061392" w:rsidRPr="00F619D2" w:rsidRDefault="00061392" w:rsidP="00952020">
      <w:pPr>
        <w:pStyle w:val="BodyText"/>
        <w:spacing w:before="160" w:after="160"/>
        <w:jc w:val="both"/>
        <w:rPr>
          <w:b/>
        </w:rPr>
      </w:pPr>
      <w:r w:rsidRPr="00F619D2">
        <w:rPr>
          <w:b/>
        </w:rPr>
        <w:t>Narrative Explanation Required</w:t>
      </w:r>
      <w:r w:rsidR="007F3DC8">
        <w:rPr>
          <w:b/>
        </w:rPr>
        <w:t xml:space="preserve"> Below According to </w:t>
      </w:r>
      <w:r w:rsidR="0080671B">
        <w:rPr>
          <w:b/>
        </w:rPr>
        <w:t>Response Indication:</w:t>
      </w:r>
    </w:p>
    <w:p w14:paraId="5F2BD986" w14:textId="77777777" w:rsidR="00061392" w:rsidRPr="009A39FF" w:rsidRDefault="00061392" w:rsidP="00952020">
      <w:pPr>
        <w:pStyle w:val="BodyText"/>
        <w:spacing w:before="160" w:after="160"/>
        <w:jc w:val="both"/>
      </w:pPr>
      <w:r w:rsidRPr="009A39FF">
        <w:t xml:space="preserve">The vendor must provide the right of access to systems, facilities, data, and documentation to the PRMP or its </w:t>
      </w:r>
      <w:bookmarkStart w:id="10" w:name="_Int_hj3g8ie6"/>
      <w:proofErr w:type="gramStart"/>
      <w:r w:rsidRPr="009A39FF">
        <w:t>designee</w:t>
      </w:r>
      <w:bookmarkEnd w:id="10"/>
      <w:proofErr w:type="gramEnd"/>
      <w:r w:rsidRPr="009A39FF">
        <w:t xml:space="preserve"> to conduct audits and inspections as is necessary.</w:t>
      </w:r>
    </w:p>
    <w:p w14:paraId="3044DBF2" w14:textId="77777777" w:rsidR="00061392" w:rsidRPr="009A39FF" w:rsidRDefault="00061392" w:rsidP="00952020">
      <w:pPr>
        <w:pStyle w:val="BodyText"/>
        <w:spacing w:before="160" w:after="160"/>
        <w:jc w:val="both"/>
      </w:pPr>
      <w:r w:rsidRPr="009A39FF">
        <w:rPr>
          <w:highlight w:val="lightGray"/>
        </w:rPr>
        <w:t>&lt;Response&gt;</w:t>
      </w:r>
    </w:p>
    <w:p w14:paraId="5CB6ACD4" w14:textId="77777777"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The vendor must support the PRMP’s requests for information in response to activities including, but not limited to:</w:t>
      </w:r>
    </w:p>
    <w:p w14:paraId="671119A7"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Compliance audits</w:t>
      </w:r>
    </w:p>
    <w:p w14:paraId="1612174D"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Investigations</w:t>
      </w:r>
    </w:p>
    <w:p w14:paraId="4F14B392"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Legislative requests</w:t>
      </w:r>
    </w:p>
    <w:p w14:paraId="6839D6A2" w14:textId="77777777" w:rsidR="00061392" w:rsidRPr="009A39FF" w:rsidRDefault="00061392" w:rsidP="00952020">
      <w:pPr>
        <w:pStyle w:val="ListParagraph"/>
        <w:spacing w:before="160" w:after="160"/>
        <w:ind w:left="360" w:firstLine="3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0DEBE297" w14:textId="77777777"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The vendor must provide authorization from a parent, affiliate, or subsidiary organization for the PRMP to have access to its records if such a relationship exists that impacts the vendor’s performance under the proposed contract.</w:t>
      </w:r>
    </w:p>
    <w:p w14:paraId="2D607740" w14:textId="77777777" w:rsidR="00061392" w:rsidRPr="009A39FF" w:rsidRDefault="00061392"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68CB9529" w14:textId="77777777"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The vendor must help ensure that all applications inclusive of internet, intranet, and extranet associated with this contract are compliant with Section 508 of the Rehabilitation Act of 1973, as amended by 29 United States Code (U.S.C.) §794d, and 36 Code of Federal Regulation (CFR) 1194.21 and 36 CFR 1194.22.</w:t>
      </w:r>
    </w:p>
    <w:p w14:paraId="65262799" w14:textId="77777777" w:rsidR="00061392" w:rsidRPr="009A39FF" w:rsidRDefault="00061392"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03CA1365" w14:textId="77777777"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 xml:space="preserve">The vendor must provide increased staffing levels if requirements, timelines, quality, or other standards are not being met, based solely on the discretion of and without additional </w:t>
      </w:r>
      <w:r w:rsidRPr="009A39FF">
        <w:rPr>
          <w:rFonts w:asciiTheme="minorHAnsi" w:hAnsiTheme="minorHAnsi" w:cstheme="minorHAnsi"/>
        </w:rPr>
        <w:lastRenderedPageBreak/>
        <w:t>cost to the PRMP. In making this determination, the PRMP will evaluate whether the vendor is meeting service levels as defined in the contract.</w:t>
      </w:r>
    </w:p>
    <w:p w14:paraId="7A56B200" w14:textId="77777777" w:rsidR="00061392" w:rsidRPr="009A39FF" w:rsidRDefault="00061392"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t>&lt;</w:t>
      </w:r>
      <w:bookmarkStart w:id="11" w:name="_Hlk119267522"/>
      <w:r w:rsidRPr="009A39FF">
        <w:rPr>
          <w:rFonts w:asciiTheme="minorHAnsi" w:hAnsiTheme="minorHAnsi" w:cstheme="minorHAnsi"/>
          <w:highlight w:val="lightGray"/>
        </w:rPr>
        <w:t>Response&gt;</w:t>
      </w:r>
    </w:p>
    <w:p w14:paraId="6AF79F8F" w14:textId="77777777"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The vendor must provide evidence that staff have completed and signed all necessary forms prior to executing work for the contract.</w:t>
      </w:r>
    </w:p>
    <w:bookmarkEnd w:id="11"/>
    <w:p w14:paraId="38B13101" w14:textId="77777777" w:rsidR="00061392" w:rsidRPr="009A39FF" w:rsidRDefault="00061392"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00B1B72D" w14:textId="4E7D0BEB" w:rsidR="00061392" w:rsidRPr="009A39FF" w:rsidRDefault="00061392" w:rsidP="00952020">
      <w:pPr>
        <w:pStyle w:val="ListParagraph"/>
        <w:numPr>
          <w:ilvl w:val="0"/>
          <w:numId w:val="31"/>
        </w:numPr>
        <w:spacing w:before="160" w:after="160"/>
        <w:contextualSpacing w:val="0"/>
        <w:jc w:val="both"/>
        <w:rPr>
          <w:rFonts w:asciiTheme="minorHAnsi" w:hAnsiTheme="minorHAnsi" w:cstheme="minorHAnsi"/>
        </w:rPr>
      </w:pPr>
      <w:r w:rsidRPr="009A39FF">
        <w:rPr>
          <w:rFonts w:asciiTheme="minorHAnsi" w:hAnsiTheme="minorHAnsi" w:cstheme="minorHAnsi"/>
        </w:rPr>
        <w:t>The vendor staff must not have the capability to access, edit, and share personal data, with unauthorized staff, including</w:t>
      </w:r>
      <w:r w:rsidR="00344911">
        <w:rPr>
          <w:rFonts w:asciiTheme="minorHAnsi" w:hAnsiTheme="minorHAnsi" w:cstheme="minorHAnsi"/>
        </w:rPr>
        <w:t>,</w:t>
      </w:r>
      <w:r w:rsidRPr="009A39FF">
        <w:rPr>
          <w:rFonts w:asciiTheme="minorHAnsi" w:hAnsiTheme="minorHAnsi" w:cstheme="minorHAnsi"/>
        </w:rPr>
        <w:t xml:space="preserve"> but not limited to:</w:t>
      </w:r>
    </w:p>
    <w:p w14:paraId="3CCCFB96"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Protected Health Information (PHI)</w:t>
      </w:r>
    </w:p>
    <w:p w14:paraId="1EDC72DA"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Personally Identifiable Information (PII)</w:t>
      </w:r>
    </w:p>
    <w:p w14:paraId="0A2ECD78"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 xml:space="preserve">Financial Transaction Information </w:t>
      </w:r>
    </w:p>
    <w:p w14:paraId="408D37E1" w14:textId="77777777" w:rsidR="00061392" w:rsidRPr="009A39FF" w:rsidRDefault="00061392" w:rsidP="00952020">
      <w:pPr>
        <w:pStyle w:val="ListParagraph"/>
        <w:numPr>
          <w:ilvl w:val="1"/>
          <w:numId w:val="31"/>
        </w:numPr>
        <w:spacing w:before="160" w:after="160"/>
        <w:contextualSpacing w:val="0"/>
        <w:jc w:val="both"/>
        <w:rPr>
          <w:rFonts w:asciiTheme="minorHAnsi" w:hAnsiTheme="minorHAnsi"/>
        </w:rPr>
      </w:pPr>
      <w:r w:rsidRPr="254F5663">
        <w:rPr>
          <w:rFonts w:asciiTheme="minorHAnsi" w:hAnsiTheme="minorHAnsi"/>
        </w:rPr>
        <w:t>Federal Tax Information</w:t>
      </w:r>
    </w:p>
    <w:p w14:paraId="04A590ED" w14:textId="1C904BCD" w:rsidR="00061392" w:rsidRPr="009A39FF" w:rsidRDefault="00061392" w:rsidP="00952020">
      <w:pPr>
        <w:pStyle w:val="ListParagraph"/>
        <w:numPr>
          <w:ilvl w:val="1"/>
          <w:numId w:val="31"/>
        </w:numPr>
        <w:spacing w:before="160" w:after="160"/>
        <w:contextualSpacing w:val="0"/>
        <w:jc w:val="both"/>
        <w:rPr>
          <w:rFonts w:asciiTheme="minorHAnsi" w:hAnsiTheme="minorHAnsi" w:cstheme="minorHAnsi"/>
        </w:rPr>
      </w:pPr>
      <w:r w:rsidRPr="009A39FF">
        <w:rPr>
          <w:rFonts w:asciiTheme="minorHAnsi" w:hAnsiTheme="minorHAnsi" w:cstheme="minorHAnsi"/>
        </w:rPr>
        <w:t>Social Security Administration (SSA) data including, but not limited to</w:t>
      </w:r>
      <w:r w:rsidR="005C4EDC">
        <w:rPr>
          <w:rFonts w:asciiTheme="minorHAnsi" w:hAnsiTheme="minorHAnsi" w:cstheme="minorHAnsi"/>
        </w:rPr>
        <w:t>,</w:t>
      </w:r>
      <w:r w:rsidRPr="009A39FF">
        <w:rPr>
          <w:rFonts w:asciiTheme="minorHAnsi" w:hAnsiTheme="minorHAnsi" w:cstheme="minorHAnsi"/>
        </w:rPr>
        <w:t xml:space="preserve"> family, friends, and acquaintance information</w:t>
      </w:r>
    </w:p>
    <w:p w14:paraId="5EB593EF" w14:textId="77777777" w:rsidR="00061392" w:rsidRPr="009A39FF" w:rsidRDefault="00061392" w:rsidP="00952020">
      <w:pPr>
        <w:spacing w:before="160" w:after="160"/>
        <w:ind w:firstLine="720"/>
        <w:jc w:val="both"/>
        <w:rPr>
          <w:rFonts w:asciiTheme="minorHAnsi" w:hAnsiTheme="minorHAnsi" w:cstheme="minorHAnsi"/>
        </w:rPr>
      </w:pPr>
      <w:r w:rsidRPr="009A39FF">
        <w:rPr>
          <w:rFonts w:asciiTheme="minorHAnsi" w:hAnsiTheme="minorHAnsi" w:cstheme="minorHAnsi"/>
          <w:highlight w:val="lightGray"/>
        </w:rPr>
        <w:t>&lt;Response&gt;</w:t>
      </w:r>
    </w:p>
    <w:p w14:paraId="24928D98" w14:textId="2429DC35" w:rsidR="00C8756F" w:rsidRPr="00C8756F" w:rsidRDefault="00C8756F" w:rsidP="00952020">
      <w:pPr>
        <w:pStyle w:val="ListParagraph"/>
        <w:numPr>
          <w:ilvl w:val="0"/>
          <w:numId w:val="31"/>
        </w:numPr>
        <w:spacing w:before="160" w:after="160"/>
        <w:contextualSpacing w:val="0"/>
        <w:jc w:val="both"/>
        <w:rPr>
          <w:rStyle w:val="ui-provider"/>
          <w:rFonts w:asciiTheme="minorHAnsi" w:hAnsiTheme="minorHAnsi" w:cstheme="minorHAnsi"/>
        </w:rPr>
      </w:pPr>
      <w:r>
        <w:rPr>
          <w:rStyle w:val="ui-provider"/>
        </w:rPr>
        <w:t>The vendor must maintain a sufficient staff model to provide the services outlined in the contract while meeting or exceeding the applicable service level agreements.</w:t>
      </w:r>
    </w:p>
    <w:p w14:paraId="0ADA899F" w14:textId="5B408E6B" w:rsidR="00C8756F" w:rsidRPr="00C8756F" w:rsidRDefault="00C8756F"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43B3D00D" w14:textId="77777777" w:rsidR="00186D52" w:rsidRDefault="00186D52" w:rsidP="00952020">
      <w:pPr>
        <w:pStyle w:val="ListParagraph"/>
        <w:numPr>
          <w:ilvl w:val="0"/>
          <w:numId w:val="31"/>
        </w:numPr>
        <w:spacing w:before="160" w:after="160"/>
        <w:contextualSpacing w:val="0"/>
        <w:jc w:val="both"/>
        <w:rPr>
          <w:rStyle w:val="ui-provider"/>
        </w:rPr>
      </w:pPr>
      <w:r w:rsidRPr="00186D52">
        <w:rPr>
          <w:rStyle w:val="ui-provider"/>
        </w:rPr>
        <w:t>On a monthly basis the vendor must, at a minimum, include the standard invoice package contents for the PRMP, including, but not limited to:</w:t>
      </w:r>
    </w:p>
    <w:p w14:paraId="4564DF23" w14:textId="1C93FD2A" w:rsidR="00186D52" w:rsidRPr="00B753C5" w:rsidRDefault="00186D52" w:rsidP="00952020">
      <w:pPr>
        <w:pStyle w:val="ListParagraph"/>
        <w:numPr>
          <w:ilvl w:val="1"/>
          <w:numId w:val="31"/>
        </w:numPr>
        <w:spacing w:before="160" w:after="160"/>
        <w:contextualSpacing w:val="0"/>
        <w:jc w:val="both"/>
        <w:rPr>
          <w:rFonts w:asciiTheme="minorHAnsi" w:hAnsiTheme="minorHAnsi" w:cstheme="minorHAnsi"/>
        </w:rPr>
      </w:pPr>
      <w:r w:rsidRPr="00B753C5">
        <w:rPr>
          <w:rFonts w:asciiTheme="minorHAnsi" w:hAnsiTheme="minorHAnsi" w:cstheme="minorHAnsi"/>
        </w:rPr>
        <w:t>An authorized representative of the contracted party must sign an itemized description of services rendered for the invoice period. Additionally, the vendor must include a written certification stating that no officer or employee of the PRMP, its subsidiaries, or affiliates</w:t>
      </w:r>
      <w:r w:rsidR="005E11F4">
        <w:rPr>
          <w:rFonts w:asciiTheme="minorHAnsi" w:hAnsiTheme="minorHAnsi" w:cstheme="minorHAnsi"/>
        </w:rPr>
        <w:t xml:space="preserve"> </w:t>
      </w:r>
      <w:r w:rsidRPr="00B753C5">
        <w:rPr>
          <w:rFonts w:asciiTheme="minorHAnsi" w:hAnsiTheme="minorHAnsi" w:cstheme="minorHAnsi"/>
        </w:rPr>
        <w:t>will derive or obtain any benefit or profit of any kind from this vendor’s contract. Invoices that do not include this certification will not be paid.</w:t>
      </w:r>
    </w:p>
    <w:p w14:paraId="7992A454" w14:textId="77777777" w:rsidR="00186D52" w:rsidRPr="00B753C5" w:rsidRDefault="00186D52" w:rsidP="00952020">
      <w:pPr>
        <w:pStyle w:val="ListParagraph"/>
        <w:numPr>
          <w:ilvl w:val="1"/>
          <w:numId w:val="31"/>
        </w:numPr>
        <w:spacing w:before="160" w:after="160"/>
        <w:contextualSpacing w:val="0"/>
        <w:jc w:val="both"/>
        <w:rPr>
          <w:rFonts w:asciiTheme="minorHAnsi" w:hAnsiTheme="minorHAnsi" w:cstheme="minorHAnsi"/>
        </w:rPr>
      </w:pPr>
      <w:r w:rsidRPr="00B753C5">
        <w:rPr>
          <w:rFonts w:asciiTheme="minorHAnsi" w:hAnsiTheme="minorHAnsi" w:cstheme="minorHAnsi"/>
        </w:rPr>
        <w:t>Provide the PRMP with a list of all services completed within an invoice period, as well as evidence that the PRMP has accepted and approved the work.</w:t>
      </w:r>
    </w:p>
    <w:p w14:paraId="26EFC579" w14:textId="0EBCBC5B" w:rsidR="00186D52" w:rsidRPr="00B753C5" w:rsidRDefault="00186D52" w:rsidP="00952020">
      <w:pPr>
        <w:pStyle w:val="ListParagraph"/>
        <w:numPr>
          <w:ilvl w:val="1"/>
          <w:numId w:val="31"/>
        </w:numPr>
        <w:spacing w:before="160" w:after="160"/>
        <w:contextualSpacing w:val="0"/>
        <w:jc w:val="both"/>
        <w:rPr>
          <w:rFonts w:asciiTheme="minorHAnsi" w:hAnsiTheme="minorHAnsi" w:cstheme="minorHAnsi"/>
        </w:rPr>
      </w:pPr>
      <w:r w:rsidRPr="00B753C5">
        <w:rPr>
          <w:rFonts w:asciiTheme="minorHAnsi" w:hAnsiTheme="minorHAnsi" w:cstheme="minorHAnsi"/>
        </w:rPr>
        <w:t>Provide the PRMP with three physical and one electronic invoice packages in support of the PRMP’s review and approval of each invoice.</w:t>
      </w:r>
    </w:p>
    <w:p w14:paraId="57776921" w14:textId="77777777" w:rsidR="00186D52" w:rsidRPr="00B753C5" w:rsidRDefault="00186D52" w:rsidP="00952020">
      <w:pPr>
        <w:pStyle w:val="ListParagraph"/>
        <w:numPr>
          <w:ilvl w:val="2"/>
          <w:numId w:val="31"/>
        </w:numPr>
        <w:spacing w:before="160" w:after="160"/>
        <w:contextualSpacing w:val="0"/>
        <w:jc w:val="both"/>
        <w:rPr>
          <w:rFonts w:asciiTheme="minorHAnsi" w:hAnsiTheme="minorHAnsi" w:cstheme="minorHAnsi"/>
        </w:rPr>
      </w:pPr>
      <w:r w:rsidRPr="00B753C5">
        <w:rPr>
          <w:rFonts w:asciiTheme="minorHAnsi" w:hAnsiTheme="minorHAnsi" w:cstheme="minorHAnsi"/>
        </w:rPr>
        <w:t>Invoice Package #1 – Original Signature and Hard Copy</w:t>
      </w:r>
    </w:p>
    <w:p w14:paraId="1B08FD58" w14:textId="7463F5AB" w:rsidR="00186D52" w:rsidRPr="00B753C5" w:rsidRDefault="00186D52" w:rsidP="00952020">
      <w:pPr>
        <w:pStyle w:val="ListParagraph"/>
        <w:numPr>
          <w:ilvl w:val="2"/>
          <w:numId w:val="31"/>
        </w:numPr>
        <w:spacing w:before="160" w:after="160"/>
        <w:contextualSpacing w:val="0"/>
        <w:jc w:val="both"/>
        <w:rPr>
          <w:rFonts w:asciiTheme="minorHAnsi" w:hAnsiTheme="minorHAnsi" w:cstheme="minorHAnsi"/>
        </w:rPr>
      </w:pPr>
      <w:r w:rsidRPr="00B753C5">
        <w:rPr>
          <w:rFonts w:asciiTheme="minorHAnsi" w:hAnsiTheme="minorHAnsi" w:cstheme="minorHAnsi"/>
        </w:rPr>
        <w:t xml:space="preserve">Invoice Packages #2 </w:t>
      </w:r>
      <w:r w:rsidR="00B65243">
        <w:rPr>
          <w:rFonts w:asciiTheme="minorHAnsi" w:hAnsiTheme="minorHAnsi" w:cstheme="minorHAnsi"/>
        </w:rPr>
        <w:t>–</w:t>
      </w:r>
      <w:r w:rsidRPr="00B753C5">
        <w:rPr>
          <w:rFonts w:asciiTheme="minorHAnsi" w:hAnsiTheme="minorHAnsi" w:cstheme="minorHAnsi"/>
        </w:rPr>
        <w:t xml:space="preserve"> #3 – Hard Copy</w:t>
      </w:r>
    </w:p>
    <w:p w14:paraId="47FAD8CD" w14:textId="58355D58" w:rsidR="00186D52" w:rsidRPr="00B753C5" w:rsidRDefault="00186D52" w:rsidP="00952020">
      <w:pPr>
        <w:pStyle w:val="ListParagraph"/>
        <w:numPr>
          <w:ilvl w:val="2"/>
          <w:numId w:val="31"/>
        </w:numPr>
        <w:spacing w:before="160" w:after="160"/>
        <w:contextualSpacing w:val="0"/>
        <w:jc w:val="both"/>
        <w:rPr>
          <w:rFonts w:asciiTheme="minorHAnsi" w:hAnsiTheme="minorHAnsi" w:cstheme="minorHAnsi"/>
        </w:rPr>
      </w:pPr>
      <w:r w:rsidRPr="00B753C5">
        <w:rPr>
          <w:rFonts w:asciiTheme="minorHAnsi" w:hAnsiTheme="minorHAnsi" w:cstheme="minorHAnsi"/>
        </w:rPr>
        <w:t>Invoice Package #4 – Electronic</w:t>
      </w:r>
    </w:p>
    <w:p w14:paraId="0781D6BC" w14:textId="25ED6B5B" w:rsidR="005C1962" w:rsidRDefault="00B753C5" w:rsidP="00952020">
      <w:pPr>
        <w:pStyle w:val="ListParagraph"/>
        <w:spacing w:before="160" w:after="160"/>
        <w:contextualSpacing w:val="0"/>
        <w:jc w:val="both"/>
        <w:rPr>
          <w:rFonts w:asciiTheme="minorHAnsi" w:hAnsiTheme="minorHAnsi" w:cstheme="minorHAnsi"/>
        </w:rPr>
      </w:pPr>
      <w:r w:rsidRPr="009A39FF">
        <w:rPr>
          <w:rFonts w:asciiTheme="minorHAnsi" w:hAnsiTheme="minorHAnsi" w:cstheme="minorHAnsi"/>
          <w:highlight w:val="lightGray"/>
        </w:rPr>
        <w:lastRenderedPageBreak/>
        <w:t>&lt;Response&gt;</w:t>
      </w:r>
    </w:p>
    <w:p w14:paraId="55784CED" w14:textId="77777777" w:rsidR="008516E8" w:rsidRPr="008516E8" w:rsidRDefault="008516E8" w:rsidP="00952020">
      <w:pPr>
        <w:pStyle w:val="ListParagraph"/>
        <w:numPr>
          <w:ilvl w:val="0"/>
          <w:numId w:val="31"/>
        </w:numPr>
        <w:spacing w:before="160" w:after="160"/>
        <w:contextualSpacing w:val="0"/>
        <w:jc w:val="both"/>
        <w:rPr>
          <w:rStyle w:val="ui-provider"/>
        </w:rPr>
      </w:pPr>
      <w:r w:rsidRPr="008516E8">
        <w:rPr>
          <w:rStyle w:val="ui-provider"/>
        </w:rPr>
        <w:t>The vendor must comply with federal Executive Order 11246 related to Equal Employment Opportunity Act, the Clean Air Act, and the Clean Water Act.</w:t>
      </w:r>
    </w:p>
    <w:p w14:paraId="15D25B07" w14:textId="1FFCD331" w:rsidR="008516E8" w:rsidRDefault="008516E8" w:rsidP="00952020">
      <w:pPr>
        <w:pStyle w:val="ListParagraph"/>
        <w:spacing w:before="160" w:after="160"/>
        <w:contextualSpacing w:val="0"/>
        <w:jc w:val="both"/>
        <w:rPr>
          <w:rFonts w:asciiTheme="minorHAnsi" w:hAnsiTheme="minorHAnsi" w:cstheme="minorHAnsi"/>
        </w:rPr>
      </w:pPr>
      <w:r w:rsidRPr="008516E8">
        <w:rPr>
          <w:rFonts w:asciiTheme="minorHAnsi" w:hAnsiTheme="minorHAnsi" w:cstheme="minorHAnsi"/>
          <w:highlight w:val="lightGray"/>
        </w:rPr>
        <w:t>&lt;Response&gt;</w:t>
      </w:r>
    </w:p>
    <w:p w14:paraId="4EC242EF" w14:textId="0D8EAF9B" w:rsidR="008516E8" w:rsidRDefault="008516E8" w:rsidP="00952020">
      <w:pPr>
        <w:pStyle w:val="ListParagraph"/>
        <w:numPr>
          <w:ilvl w:val="0"/>
          <w:numId w:val="31"/>
        </w:numPr>
        <w:spacing w:before="160" w:after="160"/>
        <w:contextualSpacing w:val="0"/>
        <w:jc w:val="both"/>
        <w:rPr>
          <w:rStyle w:val="ui-provider"/>
        </w:rPr>
      </w:pPr>
      <w:r w:rsidRPr="008516E8">
        <w:rPr>
          <w:rStyle w:val="ui-provider"/>
        </w:rPr>
        <w:t>The vendor must provide a drug-free workplace, and individuals must not engage in the unlawful manufacture, distribution, dispensation, possession, abuse, or use of a controlled substance in the performance of the contract. (Drug-Free Workplace Act of 1988)</w:t>
      </w:r>
    </w:p>
    <w:p w14:paraId="360676D7" w14:textId="5E91E7FC" w:rsidR="008516E8" w:rsidRPr="008516E8" w:rsidRDefault="008516E8" w:rsidP="00952020">
      <w:pPr>
        <w:spacing w:before="160" w:after="160"/>
        <w:ind w:left="360" w:firstLine="360"/>
        <w:jc w:val="both"/>
        <w:rPr>
          <w:rStyle w:val="ui-provider"/>
        </w:rPr>
      </w:pPr>
      <w:r w:rsidRPr="008516E8">
        <w:rPr>
          <w:rFonts w:asciiTheme="minorHAnsi" w:hAnsiTheme="minorHAnsi" w:cstheme="minorHAnsi"/>
          <w:highlight w:val="lightGray"/>
        </w:rPr>
        <w:t>&lt;Response&gt;</w:t>
      </w:r>
    </w:p>
    <w:p w14:paraId="5B3A914B" w14:textId="3885DB88" w:rsidR="005C1962" w:rsidRPr="009A39FF" w:rsidRDefault="005C1962" w:rsidP="00952020">
      <w:pPr>
        <w:pStyle w:val="BodyText"/>
        <w:spacing w:before="160" w:after="160"/>
        <w:jc w:val="both"/>
      </w:pPr>
      <w:r>
        <w:t xml:space="preserve">Table 16 details the mandatory requirements that the </w:t>
      </w:r>
      <w:r w:rsidRPr="0042584B">
        <w:t>vendor must include and initial as part of their proposal.</w:t>
      </w:r>
    </w:p>
    <w:p w14:paraId="43FC6B14" w14:textId="3889543F" w:rsidR="00061392" w:rsidRPr="00836F86" w:rsidRDefault="009D7ED1" w:rsidP="00836F86">
      <w:pPr>
        <w:pStyle w:val="BodyText"/>
        <w:jc w:val="center"/>
        <w:rPr>
          <w:b/>
          <w:bCs/>
          <w:sz w:val="20"/>
          <w:szCs w:val="20"/>
        </w:rPr>
      </w:pPr>
      <w:r w:rsidRPr="00836F86">
        <w:rPr>
          <w:b/>
          <w:bCs/>
          <w:sz w:val="20"/>
          <w:szCs w:val="20"/>
        </w:rPr>
        <w:t xml:space="preserve">Table </w:t>
      </w:r>
      <w:r w:rsidR="00380936">
        <w:rPr>
          <w:b/>
          <w:bCs/>
          <w:sz w:val="20"/>
          <w:szCs w:val="20"/>
        </w:rPr>
        <w:t>16</w:t>
      </w:r>
      <w:r w:rsidRPr="00836F86">
        <w:rPr>
          <w:b/>
          <w:bCs/>
          <w:sz w:val="20"/>
          <w:szCs w:val="20"/>
        </w:rPr>
        <w:t xml:space="preserve">: </w:t>
      </w:r>
      <w:r w:rsidR="00061392" w:rsidRPr="00836F86">
        <w:rPr>
          <w:b/>
          <w:bCs/>
          <w:sz w:val="20"/>
          <w:szCs w:val="20"/>
        </w:rPr>
        <w:t>Mandatory Requirements</w:t>
      </w:r>
    </w:p>
    <w:tbl>
      <w:tblPr>
        <w:tblStyle w:val="ListTable3-Accent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847"/>
        <w:gridCol w:w="3600"/>
      </w:tblGrid>
      <w:tr w:rsidR="009D7ED1" w:rsidRPr="008362F6" w14:paraId="7C9888F7" w14:textId="77777777" w:rsidTr="00B753C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89" w:type="pct"/>
            <w:vAlign w:val="center"/>
            <w:hideMark/>
          </w:tcPr>
          <w:p w14:paraId="08B7BB8C" w14:textId="479A6F1D" w:rsidR="008362F6" w:rsidRPr="00836F86" w:rsidRDefault="008362F6" w:rsidP="000903A6">
            <w:pPr>
              <w:spacing w:before="60" w:after="60"/>
              <w:rPr>
                <w:rFonts w:asciiTheme="minorHAnsi" w:eastAsia="MS Mincho" w:hAnsiTheme="minorHAnsi" w:cstheme="minorHAnsi"/>
                <w:color w:val="auto"/>
                <w:sz w:val="20"/>
                <w:szCs w:val="20"/>
              </w:rPr>
            </w:pPr>
            <w:r w:rsidRPr="00AB6D22">
              <w:rPr>
                <w:rFonts w:asciiTheme="minorHAnsi" w:eastAsia="MS Mincho" w:hAnsiTheme="minorHAnsi" w:cstheme="minorHAnsi"/>
                <w:color w:val="FFFFFF"/>
                <w:sz w:val="20"/>
                <w:szCs w:val="20"/>
              </w:rPr>
              <w:t xml:space="preserve">Mandatory </w:t>
            </w:r>
            <w:r w:rsidR="004675B1" w:rsidRPr="00AB6D22">
              <w:rPr>
                <w:rFonts w:asciiTheme="minorHAnsi" w:eastAsia="MS Mincho" w:hAnsiTheme="minorHAnsi" w:cstheme="minorHAnsi"/>
                <w:color w:val="FFFFFF"/>
                <w:sz w:val="20"/>
                <w:szCs w:val="20"/>
              </w:rPr>
              <w:t>Requirement</w:t>
            </w:r>
            <w:r w:rsidRPr="00AB6D22">
              <w:rPr>
                <w:rFonts w:asciiTheme="minorHAnsi" w:eastAsia="MS Mincho" w:hAnsiTheme="minorHAnsi" w:cstheme="minorHAnsi"/>
                <w:color w:val="FFFFFF"/>
                <w:sz w:val="20"/>
                <w:szCs w:val="20"/>
              </w:rPr>
              <w:t xml:space="preserve"> Item(s)</w:t>
            </w:r>
          </w:p>
        </w:tc>
        <w:tc>
          <w:tcPr>
            <w:tcW w:w="987" w:type="pct"/>
            <w:vAlign w:val="center"/>
            <w:hideMark/>
          </w:tcPr>
          <w:p w14:paraId="1EB23FC4" w14:textId="0DACDF36" w:rsidR="007403BC" w:rsidRPr="00C97CC7" w:rsidRDefault="007403BC" w:rsidP="000903A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C97CC7">
              <w:rPr>
                <w:rFonts w:asciiTheme="minorHAnsi" w:eastAsia="MS Mincho" w:hAnsiTheme="minorHAnsi" w:cstheme="minorHAnsi"/>
                <w:sz w:val="20"/>
                <w:szCs w:val="20"/>
              </w:rPr>
              <w:t>Vendor Meets Requirement?</w:t>
            </w:r>
            <w:r>
              <w:rPr>
                <w:rFonts w:asciiTheme="minorHAnsi" w:eastAsia="MS Mincho" w:hAnsiTheme="minorHAnsi" w:cstheme="minorHAnsi"/>
                <w:b w:val="0"/>
                <w:bCs w:val="0"/>
                <w:sz w:val="20"/>
                <w:szCs w:val="20"/>
              </w:rPr>
              <w:t xml:space="preserve"> Y/N</w:t>
            </w:r>
          </w:p>
        </w:tc>
        <w:tc>
          <w:tcPr>
            <w:tcW w:w="1924" w:type="pct"/>
            <w:vAlign w:val="center"/>
          </w:tcPr>
          <w:p w14:paraId="7678350F" w14:textId="11C9B0B0" w:rsidR="008362F6" w:rsidRPr="00836F86" w:rsidRDefault="008362F6" w:rsidP="006E575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 w:val="20"/>
                <w:szCs w:val="20"/>
              </w:rPr>
            </w:pPr>
            <w:r w:rsidRPr="00AB6D22">
              <w:rPr>
                <w:rFonts w:asciiTheme="minorHAnsi" w:eastAsia="MS Mincho" w:hAnsiTheme="minorHAnsi" w:cstheme="minorHAnsi"/>
                <w:color w:val="FFFFFF"/>
                <w:sz w:val="20"/>
                <w:szCs w:val="20"/>
              </w:rPr>
              <w:t xml:space="preserve">Provide </w:t>
            </w:r>
            <w:r w:rsidR="009D7ED1">
              <w:rPr>
                <w:rFonts w:asciiTheme="minorHAnsi" w:eastAsia="MS Mincho" w:hAnsiTheme="minorHAnsi" w:cstheme="minorHAnsi"/>
                <w:color w:val="FFFFFF"/>
                <w:sz w:val="20"/>
                <w:szCs w:val="20"/>
              </w:rPr>
              <w:t>a</w:t>
            </w:r>
            <w:r w:rsidRPr="00AB6D22">
              <w:rPr>
                <w:rFonts w:asciiTheme="minorHAnsi" w:eastAsia="MS Mincho" w:hAnsiTheme="minorHAnsi" w:cstheme="minorHAnsi"/>
                <w:color w:val="FFFFFF"/>
                <w:sz w:val="20"/>
                <w:szCs w:val="20"/>
              </w:rPr>
              <w:t xml:space="preserve"> Brief Narrative to Demonstrate </w:t>
            </w:r>
            <w:r w:rsidR="000F0624">
              <w:rPr>
                <w:rFonts w:asciiTheme="minorHAnsi" w:eastAsia="MS Mincho" w:hAnsiTheme="minorHAnsi" w:cstheme="minorHAnsi"/>
                <w:color w:val="FFFFFF"/>
                <w:sz w:val="20"/>
                <w:szCs w:val="20"/>
              </w:rPr>
              <w:t xml:space="preserve">Understanding and </w:t>
            </w:r>
            <w:r w:rsidRPr="00AB6D22">
              <w:rPr>
                <w:rFonts w:asciiTheme="minorHAnsi" w:eastAsia="MS Mincho" w:hAnsiTheme="minorHAnsi" w:cstheme="minorHAnsi"/>
                <w:color w:val="FFFFFF"/>
                <w:sz w:val="20"/>
                <w:szCs w:val="20"/>
              </w:rPr>
              <w:t>Fulfillment of Requirement</w:t>
            </w:r>
            <w:r w:rsidR="000B0D26">
              <w:rPr>
                <w:rFonts w:asciiTheme="minorHAnsi" w:eastAsia="MS Mincho" w:hAnsiTheme="minorHAnsi" w:cstheme="minorHAnsi"/>
                <w:color w:val="FFFFFF"/>
                <w:sz w:val="20"/>
                <w:szCs w:val="20"/>
              </w:rPr>
              <w:t xml:space="preserve"> *Response should note any exceptions to meeting requirement</w:t>
            </w:r>
          </w:p>
        </w:tc>
      </w:tr>
      <w:tr w:rsidR="009D7ED1" w:rsidRPr="008362F6" w14:paraId="6268A71E"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77D4583B" w14:textId="17BF7661" w:rsidR="008362F6" w:rsidRPr="008362F6" w:rsidRDefault="008362F6" w:rsidP="000903A6">
            <w:pPr>
              <w:spacing w:before="60" w:after="60"/>
              <w:rPr>
                <w:rFonts w:asciiTheme="minorHAnsi" w:eastAsia="MS Mincho" w:hAnsiTheme="minorHAnsi" w:cstheme="minorHAnsi"/>
                <w:sz w:val="20"/>
                <w:szCs w:val="20"/>
              </w:rPr>
            </w:pPr>
            <w:r w:rsidRPr="00EE6E7F">
              <w:rPr>
                <w:rFonts w:asciiTheme="minorHAnsi" w:eastAsia="MS Mincho" w:hAnsiTheme="minorHAnsi" w:cstheme="minorHAnsi"/>
                <w:b w:val="0"/>
                <w:bCs w:val="0"/>
                <w:sz w:val="20"/>
                <w:szCs w:val="20"/>
              </w:rPr>
              <w:t>The vendor must comply with current and future Puerto Rico and federal regulations as necessary to support the services outlined in this RFP</w:t>
            </w:r>
          </w:p>
        </w:tc>
        <w:tc>
          <w:tcPr>
            <w:tcW w:w="987" w:type="pct"/>
          </w:tcPr>
          <w:p w14:paraId="2849D4FF" w14:textId="3BFBD284" w:rsidR="008362F6" w:rsidRPr="008362F6" w:rsidRDefault="008362F6"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5C5FCDD7" w14:textId="4D0E7FCE" w:rsidR="008362F6" w:rsidRPr="008362F6" w:rsidRDefault="008362F6"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14F46F2C"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645F7713" w14:textId="08815E99" w:rsidR="008362F6" w:rsidRPr="00836F86" w:rsidRDefault="008362F6" w:rsidP="000903A6">
            <w:pPr>
              <w:spacing w:before="60" w:after="60"/>
              <w:rPr>
                <w:rFonts w:asciiTheme="minorHAnsi" w:eastAsia="MS Mincho" w:hAnsiTheme="minorHAnsi" w:cstheme="minorHAnsi"/>
                <w:b w:val="0"/>
                <w:bCs w:val="0"/>
                <w:sz w:val="20"/>
                <w:szCs w:val="20"/>
              </w:rPr>
            </w:pPr>
            <w:r w:rsidRPr="00EE6E7F">
              <w:rPr>
                <w:rFonts w:asciiTheme="minorHAnsi" w:eastAsia="MS Mincho" w:hAnsiTheme="minorHAnsi" w:cstheme="minorHAnsi"/>
                <w:b w:val="0"/>
                <w:bCs w:val="0"/>
                <w:sz w:val="20"/>
                <w:szCs w:val="20"/>
              </w:rPr>
              <w:t xml:space="preserve">The vendor must perform according to approved SLAs and associated metrics in the areas listed in </w:t>
            </w:r>
            <w:r w:rsidRPr="00233656">
              <w:rPr>
                <w:rFonts w:asciiTheme="minorHAnsi" w:eastAsia="MS Mincho" w:hAnsiTheme="minorHAnsi" w:cstheme="minorHAnsi"/>
                <w:sz w:val="20"/>
                <w:szCs w:val="20"/>
              </w:rPr>
              <w:t xml:space="preserve">Appendix </w:t>
            </w:r>
            <w:r w:rsidR="00233656" w:rsidRPr="00233656">
              <w:rPr>
                <w:rFonts w:asciiTheme="minorHAnsi" w:eastAsia="MS Mincho" w:hAnsiTheme="minorHAnsi" w:cstheme="minorHAnsi"/>
                <w:sz w:val="20"/>
                <w:szCs w:val="20"/>
              </w:rPr>
              <w:t>2</w:t>
            </w:r>
            <w:r w:rsidRPr="00233656">
              <w:rPr>
                <w:rFonts w:asciiTheme="minorHAnsi" w:eastAsia="MS Mincho" w:hAnsiTheme="minorHAnsi" w:cstheme="minorHAnsi"/>
                <w:sz w:val="20"/>
                <w:szCs w:val="20"/>
              </w:rPr>
              <w:t>: Service-Level Agreements and Performance Standards</w:t>
            </w:r>
          </w:p>
        </w:tc>
        <w:tc>
          <w:tcPr>
            <w:tcW w:w="987" w:type="pct"/>
          </w:tcPr>
          <w:p w14:paraId="3D6804F8" w14:textId="4B2C4423" w:rsidR="008362F6" w:rsidRPr="008362F6" w:rsidRDefault="008362F6"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6F9B728" w14:textId="2395686A" w:rsidR="008362F6" w:rsidRPr="008362F6" w:rsidRDefault="008362F6"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56840161"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4F992EFB" w14:textId="66B8E607" w:rsidR="008362F6" w:rsidRPr="00EE6E7F" w:rsidRDefault="00EE6E7F" w:rsidP="000903A6">
            <w:pPr>
              <w:spacing w:before="60" w:after="60"/>
              <w:rPr>
                <w:rFonts w:asciiTheme="minorHAnsi" w:hAnsiTheme="minorHAnsi" w:cstheme="minorHAnsi"/>
                <w:b w:val="0"/>
                <w:bCs w:val="0"/>
                <w:sz w:val="20"/>
                <w:szCs w:val="20"/>
              </w:rPr>
            </w:pPr>
            <w:r w:rsidRPr="00EE6E7F">
              <w:rPr>
                <w:rFonts w:asciiTheme="minorHAnsi" w:hAnsiTheme="minorHAnsi" w:cstheme="minorHAnsi"/>
                <w:b w:val="0"/>
                <w:bCs w:val="0"/>
                <w:sz w:val="20"/>
                <w:szCs w:val="20"/>
              </w:rPr>
              <w:t>The vendor must perform all work associated with this contract within the continental United States (U.S.) or U.S. Territories.</w:t>
            </w:r>
          </w:p>
        </w:tc>
        <w:tc>
          <w:tcPr>
            <w:tcW w:w="987" w:type="pct"/>
          </w:tcPr>
          <w:p w14:paraId="42AC2EBF" w14:textId="12791B65" w:rsidR="008362F6" w:rsidRPr="008362F6" w:rsidRDefault="008362F6"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A0ED811" w14:textId="5481C5FA" w:rsidR="008362F6" w:rsidRPr="008362F6" w:rsidRDefault="008362F6"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28847AB9"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29895C86" w14:textId="5FB1F3B2" w:rsidR="008362F6" w:rsidRPr="00EE6E7F" w:rsidRDefault="00EE6E7F" w:rsidP="000903A6">
            <w:pPr>
              <w:spacing w:before="60" w:after="60"/>
              <w:rPr>
                <w:rFonts w:asciiTheme="minorHAnsi" w:hAnsiTheme="minorHAnsi" w:cstheme="minorHAnsi"/>
                <w:b w:val="0"/>
                <w:bCs w:val="0"/>
                <w:sz w:val="20"/>
                <w:szCs w:val="20"/>
              </w:rPr>
            </w:pPr>
            <w:r w:rsidRPr="00EE6E7F">
              <w:rPr>
                <w:rFonts w:asciiTheme="minorHAnsi" w:hAnsiTheme="minorHAnsi" w:cstheme="minorHAnsi"/>
                <w:b w:val="0"/>
                <w:bCs w:val="0"/>
                <w:sz w:val="20"/>
                <w:szCs w:val="20"/>
              </w:rPr>
              <w:t xml:space="preserve">The vendor must serve as a trusted partner to the PRMP and represent the PRMP’s interests in all activities performed under the resulting contract. </w:t>
            </w:r>
          </w:p>
        </w:tc>
        <w:tc>
          <w:tcPr>
            <w:tcW w:w="987" w:type="pct"/>
          </w:tcPr>
          <w:p w14:paraId="15AF37FB" w14:textId="27E492AC" w:rsidR="008362F6" w:rsidRPr="008362F6" w:rsidRDefault="008362F6"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5FC520B4" w14:textId="67C00BC8" w:rsidR="008362F6" w:rsidRPr="008362F6" w:rsidRDefault="008362F6"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1A3733BE"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3EA9413B" w14:textId="69D03EC3" w:rsidR="008362F6" w:rsidRPr="004675B1" w:rsidRDefault="005241E6" w:rsidP="000903A6">
            <w:pPr>
              <w:spacing w:before="60" w:after="60"/>
              <w:rPr>
                <w:rFonts w:asciiTheme="minorHAnsi" w:hAnsiTheme="minorHAnsi" w:cstheme="minorHAnsi"/>
                <w:b w:val="0"/>
                <w:bCs w:val="0"/>
                <w:sz w:val="20"/>
                <w:szCs w:val="20"/>
                <w:u w:val="single"/>
              </w:rPr>
            </w:pPr>
            <w:r w:rsidRPr="00836F86" w:rsidDel="0007614B">
              <w:rPr>
                <w:rFonts w:asciiTheme="minorHAnsi" w:hAnsiTheme="minorHAnsi" w:cstheme="minorHAnsi"/>
                <w:sz w:val="20"/>
                <w:szCs w:val="20"/>
              </w:rPr>
              <w:t>Data</w:t>
            </w:r>
            <w:r w:rsidR="0007614B">
              <w:rPr>
                <w:rFonts w:asciiTheme="minorHAnsi" w:hAnsiTheme="minorHAnsi" w:cstheme="minorHAnsi"/>
                <w:sz w:val="20"/>
                <w:szCs w:val="20"/>
              </w:rPr>
              <w:t xml:space="preserve"> Ownership</w:t>
            </w:r>
            <w:r>
              <w:rPr>
                <w:rFonts w:asciiTheme="minorHAnsi" w:hAnsiTheme="minorHAnsi" w:cstheme="minorHAnsi"/>
                <w:b w:val="0"/>
                <w:bCs w:val="0"/>
                <w:sz w:val="20"/>
                <w:szCs w:val="20"/>
              </w:rPr>
              <w:t xml:space="preserve">: </w:t>
            </w:r>
            <w:r w:rsidR="00EE6E7F" w:rsidRPr="004E78BF">
              <w:rPr>
                <w:rFonts w:asciiTheme="minorHAnsi" w:hAnsiTheme="minorHAnsi" w:cstheme="minorHAnsi"/>
                <w:b w:val="0"/>
                <w:bCs w:val="0"/>
                <w:sz w:val="20"/>
                <w:szCs w:val="20"/>
              </w:rPr>
              <w:t>The vendor must agree that the PRMP retains ownership of all data, procedures, applications, licenses, and materials procured or developed during the contract period.</w:t>
            </w:r>
          </w:p>
        </w:tc>
        <w:tc>
          <w:tcPr>
            <w:tcW w:w="987" w:type="pct"/>
          </w:tcPr>
          <w:p w14:paraId="7E3842BB" w14:textId="2EB88229" w:rsidR="008362F6" w:rsidRPr="008362F6" w:rsidRDefault="008362F6"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FB1FCAC" w14:textId="4E19DF13" w:rsidR="008362F6" w:rsidRPr="008362F6" w:rsidRDefault="008362F6"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586F75" w:rsidRPr="008362F6" w14:paraId="55FC0052"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793409FD" w14:textId="6E28EDE3" w:rsidR="00586F75" w:rsidRPr="00836F86" w:rsidRDefault="00586F75" w:rsidP="000903A6">
            <w:pPr>
              <w:spacing w:before="60" w:after="60"/>
              <w:rPr>
                <w:rFonts w:asciiTheme="minorHAnsi" w:hAnsiTheme="minorHAnsi" w:cstheme="minorHAnsi"/>
                <w:sz w:val="20"/>
                <w:szCs w:val="20"/>
              </w:rPr>
            </w:pPr>
            <w:r w:rsidRPr="00836F86">
              <w:rPr>
                <w:rFonts w:asciiTheme="minorHAnsi" w:hAnsiTheme="minorHAnsi" w:cstheme="minorHAnsi"/>
                <w:sz w:val="20"/>
                <w:szCs w:val="20"/>
              </w:rPr>
              <w:t>Security</w:t>
            </w:r>
            <w:r w:rsidRPr="004E78BF">
              <w:rPr>
                <w:rFonts w:asciiTheme="minorHAnsi" w:hAnsiTheme="minorHAnsi" w:cstheme="minorHAnsi"/>
                <w:b w:val="0"/>
                <w:bCs w:val="0"/>
                <w:sz w:val="20"/>
                <w:szCs w:val="20"/>
              </w:rPr>
              <w:t>: The vendor must</w:t>
            </w:r>
            <w:r>
              <w:rPr>
                <w:rFonts w:asciiTheme="minorHAnsi" w:hAnsiTheme="minorHAnsi" w:cstheme="minorHAnsi"/>
                <w:b w:val="0"/>
                <w:bCs w:val="0"/>
                <w:sz w:val="20"/>
                <w:szCs w:val="20"/>
              </w:rPr>
              <w:t xml:space="preserve"> comply with information, data, and cybersecurity </w:t>
            </w:r>
            <w:r>
              <w:rPr>
                <w:rFonts w:asciiTheme="minorHAnsi" w:hAnsiTheme="minorHAnsi" w:cstheme="minorHAnsi"/>
                <w:b w:val="0"/>
                <w:bCs w:val="0"/>
                <w:sz w:val="20"/>
                <w:szCs w:val="20"/>
              </w:rPr>
              <w:lastRenderedPageBreak/>
              <w:t xml:space="preserve">requirements as applicable for contractors and vendors doing business with the Commonwealth. Reference agencies and laws include Puerto Rico Innovation and Technology Service (PRITS), the Office of the Chief Government Cybersecurity Officer (within PRITS), Law 75-2019; </w:t>
            </w:r>
            <w:r w:rsidR="00B55B04">
              <w:rPr>
                <w:rFonts w:asciiTheme="minorHAnsi" w:hAnsiTheme="minorHAnsi" w:cstheme="minorHAnsi"/>
                <w:b w:val="0"/>
                <w:bCs w:val="0"/>
                <w:sz w:val="20"/>
                <w:szCs w:val="20"/>
              </w:rPr>
              <w:t xml:space="preserve">HIPAA; </w:t>
            </w:r>
            <w:r>
              <w:rPr>
                <w:rFonts w:asciiTheme="minorHAnsi" w:hAnsiTheme="minorHAnsi" w:cstheme="minorHAnsi"/>
                <w:b w:val="0"/>
                <w:bCs w:val="0"/>
                <w:sz w:val="20"/>
                <w:szCs w:val="20"/>
              </w:rPr>
              <w:t>and Law 151 of June 22, 2004.</w:t>
            </w:r>
          </w:p>
        </w:tc>
        <w:tc>
          <w:tcPr>
            <w:tcW w:w="987" w:type="pct"/>
          </w:tcPr>
          <w:p w14:paraId="5C7025F8" w14:textId="77662FBD" w:rsidR="00586F75" w:rsidRPr="009A39FF" w:rsidRDefault="00586F75"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6C95CDA" w14:textId="661AF25A" w:rsidR="00586F75" w:rsidRPr="009A39FF" w:rsidRDefault="00586F75"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63D87EC3"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65A4D551" w14:textId="07963745" w:rsidR="00EE6E7F" w:rsidRPr="004E78BF" w:rsidRDefault="00EE6E7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Security</w:t>
            </w:r>
            <w:r w:rsidRPr="004E78BF">
              <w:rPr>
                <w:rFonts w:asciiTheme="minorHAnsi" w:hAnsiTheme="minorHAnsi" w:cstheme="minorHAnsi"/>
                <w:b w:val="0"/>
                <w:bCs w:val="0"/>
                <w:sz w:val="20"/>
                <w:szCs w:val="20"/>
              </w:rPr>
              <w:t xml:space="preserve">: The vendor must include an independent security assessment plan aligned with the assessment guidelines in the CMS guidance document for MES certification. If a different framework is proposed for the assessment, </w:t>
            </w:r>
            <w:r w:rsidR="004F6A6F">
              <w:rPr>
                <w:rFonts w:asciiTheme="minorHAnsi" w:hAnsiTheme="minorHAnsi" w:cstheme="minorHAnsi"/>
                <w:b w:val="0"/>
                <w:bCs w:val="0"/>
                <w:sz w:val="20"/>
                <w:szCs w:val="20"/>
              </w:rPr>
              <w:t xml:space="preserve">the vendor shall </w:t>
            </w:r>
            <w:r w:rsidRPr="004E78BF">
              <w:rPr>
                <w:rFonts w:asciiTheme="minorHAnsi" w:hAnsiTheme="minorHAnsi" w:cstheme="minorHAnsi"/>
                <w:b w:val="0"/>
                <w:bCs w:val="0"/>
                <w:sz w:val="20"/>
                <w:szCs w:val="20"/>
              </w:rPr>
              <w:t xml:space="preserve">ensure that the </w:t>
            </w:r>
            <w:r w:rsidR="004F6A6F">
              <w:rPr>
                <w:rFonts w:asciiTheme="minorHAnsi" w:hAnsiTheme="minorHAnsi" w:cstheme="minorHAnsi"/>
                <w:b w:val="0"/>
                <w:bCs w:val="0"/>
                <w:sz w:val="20"/>
                <w:szCs w:val="20"/>
              </w:rPr>
              <w:t>security</w:t>
            </w:r>
            <w:r w:rsidRPr="004E78BF">
              <w:rPr>
                <w:rFonts w:asciiTheme="minorHAnsi" w:hAnsiTheme="minorHAnsi" w:cstheme="minorHAnsi"/>
                <w:b w:val="0"/>
                <w:bCs w:val="0"/>
                <w:sz w:val="20"/>
                <w:szCs w:val="20"/>
              </w:rPr>
              <w:t xml:space="preserve"> assessment plan </w:t>
            </w:r>
            <w:r w:rsidR="00961F28">
              <w:rPr>
                <w:rFonts w:asciiTheme="minorHAnsi" w:hAnsiTheme="minorHAnsi" w:cstheme="minorHAnsi"/>
                <w:b w:val="0"/>
                <w:bCs w:val="0"/>
                <w:sz w:val="20"/>
                <w:szCs w:val="20"/>
              </w:rPr>
              <w:t>details</w:t>
            </w:r>
            <w:r w:rsidRPr="004E78BF">
              <w:rPr>
                <w:rFonts w:asciiTheme="minorHAnsi" w:hAnsiTheme="minorHAnsi" w:cstheme="minorHAnsi"/>
                <w:b w:val="0"/>
                <w:bCs w:val="0"/>
                <w:sz w:val="20"/>
                <w:szCs w:val="20"/>
              </w:rPr>
              <w:t xml:space="preserve"> how the vendor's framework is mapped to the NIST SP 800-53A framework</w:t>
            </w:r>
            <w:r w:rsidR="008F53F6">
              <w:rPr>
                <w:rFonts w:asciiTheme="minorHAnsi" w:hAnsiTheme="minorHAnsi" w:cstheme="minorHAnsi"/>
                <w:b w:val="0"/>
                <w:bCs w:val="0"/>
                <w:sz w:val="20"/>
                <w:szCs w:val="20"/>
              </w:rPr>
              <w:t xml:space="preserve">, </w:t>
            </w:r>
            <w:r w:rsidR="008F53F6" w:rsidRPr="00873DD0">
              <w:rPr>
                <w:rFonts w:asciiTheme="minorHAnsi" w:hAnsiTheme="minorHAnsi" w:cstheme="minorHAnsi"/>
                <w:b w:val="0"/>
                <w:bCs w:val="0"/>
                <w:sz w:val="20"/>
                <w:szCs w:val="20"/>
              </w:rPr>
              <w:t>MARS-E, or agreed upon security controls framework</w:t>
            </w:r>
            <w:r w:rsidR="004E18BC">
              <w:rPr>
                <w:rFonts w:asciiTheme="minorHAnsi" w:hAnsiTheme="minorHAnsi" w:cstheme="minorHAnsi"/>
                <w:b w:val="0"/>
                <w:bCs w:val="0"/>
                <w:sz w:val="20"/>
                <w:szCs w:val="20"/>
              </w:rPr>
              <w:t>.</w:t>
            </w:r>
          </w:p>
          <w:p w14:paraId="7F986348" w14:textId="77777777" w:rsidR="00EE6E7F" w:rsidRPr="004675B1" w:rsidRDefault="00EE6E7F" w:rsidP="00F341DA">
            <w:pPr>
              <w:pStyle w:val="ListParagraph"/>
              <w:numPr>
                <w:ilvl w:val="1"/>
                <w:numId w:val="83"/>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The vendor confirms use of the NIST SP 800-53A framework OR identify the framework proposed and include a mapping of the proposed framework to the NIST SP 800-53A.</w:t>
            </w:r>
          </w:p>
          <w:p w14:paraId="1425BFB7" w14:textId="77777777" w:rsidR="00EE6E7F" w:rsidRPr="004675B1" w:rsidRDefault="00EE6E7F" w:rsidP="00F341DA">
            <w:pPr>
              <w:pStyle w:val="ListParagraph"/>
              <w:numPr>
                <w:ilvl w:val="1"/>
                <w:numId w:val="83"/>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Vendor confirms that a security assessment plan will be submitted to be included in a contract if vendor is awarded the RFP.</w:t>
            </w:r>
          </w:p>
          <w:p w14:paraId="30843BD8" w14:textId="659A536B" w:rsidR="008362F6" w:rsidRPr="004E78BF" w:rsidRDefault="00EE6E7F" w:rsidP="00F341DA">
            <w:pPr>
              <w:pStyle w:val="ListParagraph"/>
              <w:numPr>
                <w:ilvl w:val="1"/>
                <w:numId w:val="83"/>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 xml:space="preserve">Vendor commits to annually </w:t>
            </w:r>
            <w:r w:rsidR="00204830" w:rsidRPr="00204830">
              <w:rPr>
                <w:rFonts w:asciiTheme="minorHAnsi" w:hAnsiTheme="minorHAnsi" w:cstheme="minorHAnsi"/>
                <w:b w:val="0"/>
                <w:bCs w:val="0"/>
                <w:sz w:val="20"/>
                <w:szCs w:val="20"/>
              </w:rPr>
              <w:t xml:space="preserve">comply </w:t>
            </w:r>
            <w:proofErr w:type="gramStart"/>
            <w:r w:rsidR="00204830" w:rsidRPr="00204830">
              <w:rPr>
                <w:rFonts w:asciiTheme="minorHAnsi" w:hAnsiTheme="minorHAnsi" w:cstheme="minorHAnsi"/>
                <w:b w:val="0"/>
                <w:bCs w:val="0"/>
                <w:sz w:val="20"/>
                <w:szCs w:val="20"/>
              </w:rPr>
              <w:t>to</w:t>
            </w:r>
            <w:proofErr w:type="gramEnd"/>
            <w:r w:rsidR="00204830" w:rsidRPr="00204830">
              <w:rPr>
                <w:rFonts w:asciiTheme="minorHAnsi" w:hAnsiTheme="minorHAnsi" w:cstheme="minorHAnsi"/>
                <w:b w:val="0"/>
                <w:bCs w:val="0"/>
                <w:sz w:val="20"/>
                <w:szCs w:val="20"/>
              </w:rPr>
              <w:t xml:space="preserve"> an independent third-party</w:t>
            </w:r>
            <w:r w:rsidRPr="004675B1">
              <w:rPr>
                <w:rFonts w:asciiTheme="minorHAnsi" w:hAnsiTheme="minorHAnsi" w:cstheme="minorHAnsi"/>
                <w:b w:val="0"/>
                <w:bCs w:val="0"/>
                <w:sz w:val="20"/>
                <w:szCs w:val="20"/>
              </w:rPr>
              <w:t xml:space="preserve"> security risk assessment for the HIE's third parties that transmit, process, or store data under the HIE's contract with PRMP.</w:t>
            </w:r>
            <w:r w:rsidR="00204830">
              <w:rPr>
                <w:rFonts w:asciiTheme="minorHAnsi" w:hAnsiTheme="minorHAnsi" w:cstheme="minorHAnsi"/>
                <w:b w:val="0"/>
                <w:bCs w:val="0"/>
                <w:sz w:val="20"/>
                <w:szCs w:val="20"/>
              </w:rPr>
              <w:t xml:space="preserve"> </w:t>
            </w:r>
            <w:r w:rsidR="00E10550">
              <w:rPr>
                <w:rFonts w:asciiTheme="minorHAnsi" w:hAnsiTheme="minorHAnsi" w:cstheme="minorHAnsi"/>
                <w:b w:val="0"/>
                <w:bCs w:val="0"/>
                <w:sz w:val="20"/>
                <w:szCs w:val="20"/>
              </w:rPr>
              <w:t>The vendor shall include</w:t>
            </w:r>
            <w:r w:rsidR="00810091">
              <w:rPr>
                <w:rFonts w:asciiTheme="minorHAnsi" w:hAnsiTheme="minorHAnsi" w:cstheme="minorHAnsi"/>
                <w:b w:val="0"/>
                <w:bCs w:val="0"/>
                <w:sz w:val="20"/>
                <w:szCs w:val="20"/>
              </w:rPr>
              <w:t xml:space="preserve"> the cost of the </w:t>
            </w:r>
            <w:r w:rsidR="00284D3B">
              <w:rPr>
                <w:rFonts w:asciiTheme="minorHAnsi" w:hAnsiTheme="minorHAnsi" w:cstheme="minorHAnsi"/>
                <w:b w:val="0"/>
                <w:bCs w:val="0"/>
                <w:sz w:val="20"/>
                <w:szCs w:val="20"/>
              </w:rPr>
              <w:t>annual assessment within</w:t>
            </w:r>
            <w:r w:rsidR="00673697">
              <w:rPr>
                <w:rFonts w:asciiTheme="minorHAnsi" w:hAnsiTheme="minorHAnsi" w:cstheme="minorHAnsi"/>
                <w:b w:val="0"/>
                <w:bCs w:val="0"/>
                <w:sz w:val="20"/>
                <w:szCs w:val="20"/>
              </w:rPr>
              <w:t xml:space="preserve"> operating cost.</w:t>
            </w:r>
          </w:p>
        </w:tc>
        <w:tc>
          <w:tcPr>
            <w:tcW w:w="987" w:type="pct"/>
          </w:tcPr>
          <w:p w14:paraId="5BF8A3C9" w14:textId="2642657D" w:rsidR="008362F6" w:rsidRPr="008362F6" w:rsidRDefault="008362F6"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3F98CC0A" w14:textId="43AC9FD2" w:rsidR="008362F6" w:rsidRPr="008362F6" w:rsidRDefault="008362F6"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1DDC5F81"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36600ABC" w14:textId="641E459D" w:rsidR="004E78BF" w:rsidRPr="00D607A8" w:rsidRDefault="004E78B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lastRenderedPageBreak/>
              <w:t>Security</w:t>
            </w:r>
            <w:r w:rsidRPr="00D607A8">
              <w:rPr>
                <w:rFonts w:asciiTheme="minorHAnsi" w:hAnsiTheme="minorHAnsi" w:cstheme="minorHAnsi"/>
                <w:b w:val="0"/>
                <w:bCs w:val="0"/>
                <w:sz w:val="20"/>
                <w:szCs w:val="20"/>
              </w:rPr>
              <w:t xml:space="preserve">: </w:t>
            </w:r>
            <w:r w:rsidR="00873DD0">
              <w:t xml:space="preserve"> </w:t>
            </w:r>
            <w:r w:rsidR="00873DD0" w:rsidRPr="00873DD0">
              <w:rPr>
                <w:rFonts w:asciiTheme="minorHAnsi" w:hAnsiTheme="minorHAnsi" w:cstheme="minorHAnsi"/>
                <w:b w:val="0"/>
                <w:bCs w:val="0"/>
                <w:sz w:val="20"/>
                <w:szCs w:val="20"/>
              </w:rPr>
              <w:t>The vendor will provide security-related reports at defined frequencies that align to NIST 800-53a security control requirements, MARS-E, or agreed upon security controls framework</w:t>
            </w:r>
            <w:r w:rsidR="000C600C">
              <w:rPr>
                <w:rFonts w:asciiTheme="minorHAnsi" w:hAnsiTheme="minorHAnsi" w:cstheme="minorHAnsi"/>
                <w:b w:val="0"/>
                <w:bCs w:val="0"/>
                <w:sz w:val="20"/>
                <w:szCs w:val="20"/>
              </w:rPr>
              <w:t>.</w:t>
            </w:r>
          </w:p>
          <w:p w14:paraId="1D88928F" w14:textId="761D4207" w:rsidR="004E78BF" w:rsidRPr="005E5C7B" w:rsidRDefault="004E78BF" w:rsidP="00F341DA">
            <w:pPr>
              <w:pStyle w:val="ListParagraph"/>
              <w:numPr>
                <w:ilvl w:val="1"/>
                <w:numId w:val="84"/>
              </w:numPr>
              <w:spacing w:before="60" w:after="60"/>
              <w:contextualSpacing w:val="0"/>
              <w:rPr>
                <w:rFonts w:asciiTheme="minorHAnsi" w:hAnsiTheme="minorHAnsi" w:cstheme="minorHAnsi"/>
                <w:b w:val="0"/>
                <w:bCs w:val="0"/>
                <w:sz w:val="20"/>
                <w:szCs w:val="20"/>
              </w:rPr>
            </w:pPr>
            <w:r w:rsidRPr="005E5C7B">
              <w:rPr>
                <w:rFonts w:asciiTheme="minorHAnsi" w:hAnsiTheme="minorHAnsi" w:cstheme="minorHAnsi"/>
                <w:b w:val="0"/>
                <w:bCs w:val="0"/>
                <w:sz w:val="20"/>
                <w:szCs w:val="20"/>
              </w:rPr>
              <w:t>The vendor confirms they can provide security-related reports</w:t>
            </w:r>
            <w:r w:rsidR="0034440B" w:rsidRPr="005E5C7B">
              <w:rPr>
                <w:rFonts w:asciiTheme="minorHAnsi" w:hAnsiTheme="minorHAnsi" w:cstheme="minorHAnsi"/>
                <w:b w:val="0"/>
                <w:bCs w:val="0"/>
                <w:sz w:val="20"/>
                <w:szCs w:val="20"/>
              </w:rPr>
              <w:t>.</w:t>
            </w:r>
            <w:r w:rsidRPr="005E5C7B">
              <w:rPr>
                <w:rFonts w:asciiTheme="minorHAnsi" w:hAnsiTheme="minorHAnsi" w:cstheme="minorHAnsi"/>
                <w:b w:val="0"/>
                <w:bCs w:val="0"/>
                <w:sz w:val="20"/>
                <w:szCs w:val="20"/>
              </w:rPr>
              <w:t xml:space="preserve"> Report topics include:</w:t>
            </w:r>
          </w:p>
          <w:p w14:paraId="1B6B3DA3" w14:textId="5F5C47B1"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privileged account review</w:t>
            </w:r>
            <w:r w:rsidR="007666B2">
              <w:rPr>
                <w:rFonts w:asciiTheme="minorHAnsi" w:hAnsiTheme="minorHAnsi" w:cstheme="minorHAnsi"/>
                <w:b w:val="0"/>
                <w:bCs w:val="0"/>
                <w:sz w:val="20"/>
                <w:szCs w:val="20"/>
              </w:rPr>
              <w:t xml:space="preserve"> </w:t>
            </w:r>
          </w:p>
          <w:p w14:paraId="7C2846D7" w14:textId="7789C091"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audit log review</w:t>
            </w:r>
            <w:r w:rsidR="007666B2">
              <w:rPr>
                <w:rFonts w:asciiTheme="minorHAnsi" w:hAnsiTheme="minorHAnsi" w:cstheme="minorHAnsi"/>
                <w:b w:val="0"/>
                <w:bCs w:val="0"/>
                <w:sz w:val="20"/>
                <w:szCs w:val="20"/>
              </w:rPr>
              <w:t xml:space="preserve"> </w:t>
            </w:r>
          </w:p>
          <w:p w14:paraId="3032A1E3" w14:textId="70A31F1D"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B55B04">
              <w:rPr>
                <w:rFonts w:asciiTheme="minorHAnsi" w:hAnsiTheme="minorHAnsi" w:cstheme="minorHAnsi"/>
                <w:b w:val="0"/>
                <w:sz w:val="20"/>
                <w:szCs w:val="20"/>
              </w:rPr>
              <w:t>continuous</w:t>
            </w:r>
            <w:r w:rsidR="00E46A11" w:rsidRPr="00B55B04">
              <w:rPr>
                <w:rFonts w:asciiTheme="minorHAnsi" w:hAnsiTheme="minorHAnsi" w:cstheme="minorHAnsi"/>
                <w:b w:val="0"/>
                <w:sz w:val="20"/>
                <w:szCs w:val="20"/>
              </w:rPr>
              <w:t xml:space="preserve"> </w:t>
            </w:r>
            <w:r w:rsidRPr="004675B1">
              <w:rPr>
                <w:rFonts w:asciiTheme="minorHAnsi" w:hAnsiTheme="minorHAnsi" w:cstheme="minorHAnsi"/>
                <w:b w:val="0"/>
                <w:bCs w:val="0"/>
                <w:sz w:val="20"/>
                <w:szCs w:val="20"/>
              </w:rPr>
              <w:t>monitoring/security metrics report</w:t>
            </w:r>
            <w:r w:rsidR="007666B2">
              <w:rPr>
                <w:rFonts w:asciiTheme="minorHAnsi" w:hAnsiTheme="minorHAnsi" w:cstheme="minorHAnsi"/>
                <w:b w:val="0"/>
                <w:bCs w:val="0"/>
                <w:sz w:val="20"/>
                <w:szCs w:val="20"/>
              </w:rPr>
              <w:t xml:space="preserve"> </w:t>
            </w:r>
          </w:p>
          <w:p w14:paraId="21795E01" w14:textId="177CC32E"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Plan Of Action &amp; Milestones (POAM) review</w:t>
            </w:r>
            <w:r w:rsidR="007666B2">
              <w:rPr>
                <w:rFonts w:asciiTheme="minorHAnsi" w:hAnsiTheme="minorHAnsi" w:cstheme="minorHAnsi"/>
                <w:b w:val="0"/>
                <w:bCs w:val="0"/>
                <w:sz w:val="20"/>
                <w:szCs w:val="20"/>
              </w:rPr>
              <w:t xml:space="preserve"> </w:t>
            </w:r>
          </w:p>
          <w:p w14:paraId="48180C5A" w14:textId="320B2A01"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Vulnerability assessment</w:t>
            </w:r>
          </w:p>
          <w:p w14:paraId="5D9EB72E" w14:textId="23548CE1"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system access review</w:t>
            </w:r>
            <w:r w:rsidR="00642EF6">
              <w:rPr>
                <w:rFonts w:asciiTheme="minorHAnsi" w:hAnsiTheme="minorHAnsi" w:cstheme="minorHAnsi"/>
                <w:b w:val="0"/>
                <w:bCs w:val="0"/>
                <w:sz w:val="20"/>
                <w:szCs w:val="20"/>
              </w:rPr>
              <w:t xml:space="preserve"> </w:t>
            </w:r>
          </w:p>
          <w:p w14:paraId="2CE63B6D" w14:textId="0EA50132"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roles review for separation of duties</w:t>
            </w:r>
            <w:r w:rsidR="007A429B">
              <w:rPr>
                <w:rFonts w:asciiTheme="minorHAnsi" w:hAnsiTheme="minorHAnsi" w:cstheme="minorHAnsi"/>
                <w:b w:val="0"/>
                <w:bCs w:val="0"/>
                <w:sz w:val="20"/>
                <w:szCs w:val="20"/>
              </w:rPr>
              <w:t xml:space="preserve"> </w:t>
            </w:r>
          </w:p>
          <w:p w14:paraId="178284AA" w14:textId="6007CA0C"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contingency plan review/test</w:t>
            </w:r>
            <w:r w:rsidR="007A429B">
              <w:rPr>
                <w:rFonts w:asciiTheme="minorHAnsi" w:hAnsiTheme="minorHAnsi" w:cstheme="minorHAnsi"/>
                <w:b w:val="0"/>
                <w:bCs w:val="0"/>
                <w:sz w:val="20"/>
                <w:szCs w:val="20"/>
              </w:rPr>
              <w:t xml:space="preserve"> </w:t>
            </w:r>
          </w:p>
          <w:p w14:paraId="05282CDA" w14:textId="15F535FA"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 xml:space="preserve">incident response plan review </w:t>
            </w:r>
            <w:r w:rsidR="004C1762">
              <w:rPr>
                <w:rFonts w:asciiTheme="minorHAnsi" w:hAnsiTheme="minorHAnsi" w:cstheme="minorHAnsi"/>
                <w:b w:val="0"/>
                <w:bCs w:val="0"/>
                <w:sz w:val="20"/>
                <w:szCs w:val="20"/>
              </w:rPr>
              <w:t>and</w:t>
            </w:r>
            <w:r w:rsidR="004C1762" w:rsidRPr="004675B1">
              <w:rPr>
                <w:rFonts w:asciiTheme="minorHAnsi" w:hAnsiTheme="minorHAnsi" w:cstheme="minorHAnsi"/>
                <w:b w:val="0"/>
                <w:bCs w:val="0"/>
                <w:sz w:val="20"/>
                <w:szCs w:val="20"/>
              </w:rPr>
              <w:t xml:space="preserve"> </w:t>
            </w:r>
            <w:r w:rsidRPr="004675B1">
              <w:rPr>
                <w:rFonts w:asciiTheme="minorHAnsi" w:hAnsiTheme="minorHAnsi" w:cstheme="minorHAnsi"/>
                <w:b w:val="0"/>
                <w:bCs w:val="0"/>
                <w:sz w:val="20"/>
                <w:szCs w:val="20"/>
              </w:rPr>
              <w:t>training</w:t>
            </w:r>
            <w:r w:rsidR="007A429B">
              <w:rPr>
                <w:rFonts w:asciiTheme="minorHAnsi" w:hAnsiTheme="minorHAnsi" w:cstheme="minorHAnsi"/>
                <w:b w:val="0"/>
                <w:bCs w:val="0"/>
                <w:sz w:val="20"/>
                <w:szCs w:val="20"/>
              </w:rPr>
              <w:t xml:space="preserve"> </w:t>
            </w:r>
          </w:p>
          <w:p w14:paraId="714D586C" w14:textId="166ACC17"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risk assessment; awareness training</w:t>
            </w:r>
            <w:r w:rsidR="007A429B">
              <w:rPr>
                <w:rFonts w:asciiTheme="minorHAnsi" w:hAnsiTheme="minorHAnsi" w:cstheme="minorHAnsi"/>
                <w:b w:val="0"/>
                <w:bCs w:val="0"/>
                <w:sz w:val="20"/>
                <w:szCs w:val="20"/>
              </w:rPr>
              <w:t xml:space="preserve"> </w:t>
            </w:r>
          </w:p>
          <w:p w14:paraId="3F460E09" w14:textId="69DE226F"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review system security plan and update</w:t>
            </w:r>
            <w:r w:rsidR="007A429B">
              <w:rPr>
                <w:rFonts w:asciiTheme="minorHAnsi" w:hAnsiTheme="minorHAnsi" w:cstheme="minorHAnsi"/>
                <w:b w:val="0"/>
                <w:bCs w:val="0"/>
                <w:sz w:val="20"/>
                <w:szCs w:val="20"/>
              </w:rPr>
              <w:t xml:space="preserve"> </w:t>
            </w:r>
          </w:p>
          <w:p w14:paraId="7D955133" w14:textId="1247D481"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disaster recovery presentation and review</w:t>
            </w:r>
          </w:p>
          <w:p w14:paraId="6458FAE0" w14:textId="6942E8D7"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system wide security assessment</w:t>
            </w:r>
            <w:r w:rsidR="00CE1A0B">
              <w:rPr>
                <w:rFonts w:asciiTheme="minorHAnsi" w:hAnsiTheme="minorHAnsi" w:cstheme="minorHAnsi"/>
                <w:b w:val="0"/>
                <w:bCs w:val="0"/>
                <w:sz w:val="20"/>
                <w:szCs w:val="20"/>
              </w:rPr>
              <w:t xml:space="preserve"> </w:t>
            </w:r>
          </w:p>
          <w:p w14:paraId="449D4C33" w14:textId="2CCC826B" w:rsidR="004E78BF" w:rsidRPr="004675B1" w:rsidRDefault="00CE1A0B"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Pr>
                <w:rFonts w:asciiTheme="minorHAnsi" w:hAnsiTheme="minorHAnsi" w:cstheme="minorHAnsi"/>
                <w:b w:val="0"/>
                <w:bCs w:val="0"/>
                <w:sz w:val="20"/>
                <w:szCs w:val="20"/>
              </w:rPr>
              <w:t xml:space="preserve">Internal and External </w:t>
            </w:r>
            <w:r w:rsidR="004E78BF" w:rsidRPr="004675B1">
              <w:rPr>
                <w:rFonts w:asciiTheme="minorHAnsi" w:hAnsiTheme="minorHAnsi" w:cstheme="minorHAnsi"/>
                <w:b w:val="0"/>
                <w:bCs w:val="0"/>
                <w:sz w:val="20"/>
                <w:szCs w:val="20"/>
              </w:rPr>
              <w:t>Pen</w:t>
            </w:r>
            <w:r>
              <w:rPr>
                <w:rFonts w:asciiTheme="minorHAnsi" w:hAnsiTheme="minorHAnsi" w:cstheme="minorHAnsi"/>
                <w:b w:val="0"/>
                <w:bCs w:val="0"/>
                <w:sz w:val="20"/>
                <w:szCs w:val="20"/>
              </w:rPr>
              <w:t>etration</w:t>
            </w:r>
            <w:r w:rsidR="004E78BF" w:rsidRPr="004675B1">
              <w:rPr>
                <w:rFonts w:asciiTheme="minorHAnsi" w:hAnsiTheme="minorHAnsi" w:cstheme="minorHAnsi"/>
                <w:b w:val="0"/>
                <w:bCs w:val="0"/>
                <w:sz w:val="20"/>
                <w:szCs w:val="20"/>
              </w:rPr>
              <w:t xml:space="preserve"> test</w:t>
            </w:r>
            <w:r>
              <w:rPr>
                <w:rFonts w:asciiTheme="minorHAnsi" w:hAnsiTheme="minorHAnsi" w:cstheme="minorHAnsi"/>
                <w:b w:val="0"/>
                <w:bCs w:val="0"/>
                <w:sz w:val="20"/>
                <w:szCs w:val="20"/>
              </w:rPr>
              <w:t xml:space="preserve"> </w:t>
            </w:r>
            <w:r w:rsidR="004E78BF" w:rsidRPr="004675B1">
              <w:rPr>
                <w:rFonts w:asciiTheme="minorHAnsi" w:hAnsiTheme="minorHAnsi" w:cstheme="minorHAnsi"/>
                <w:b w:val="0"/>
                <w:bCs w:val="0"/>
                <w:sz w:val="20"/>
                <w:szCs w:val="20"/>
              </w:rPr>
              <w:t xml:space="preserve"> </w:t>
            </w:r>
          </w:p>
          <w:p w14:paraId="61811EC9" w14:textId="6F548D3A" w:rsidR="004E78BF" w:rsidRPr="004675B1" w:rsidRDefault="004E78BF" w:rsidP="00F341DA">
            <w:pPr>
              <w:pStyle w:val="ListParagraph"/>
              <w:numPr>
                <w:ilvl w:val="2"/>
                <w:numId w:val="84"/>
              </w:numPr>
              <w:spacing w:before="60" w:after="60"/>
              <w:ind w:left="105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static/dynamic code analysis or peer review</w:t>
            </w:r>
            <w:r w:rsidR="00CE1A0B">
              <w:rPr>
                <w:rFonts w:asciiTheme="minorHAnsi" w:hAnsiTheme="minorHAnsi" w:cstheme="minorHAnsi"/>
                <w:b w:val="0"/>
                <w:bCs w:val="0"/>
                <w:sz w:val="20"/>
                <w:szCs w:val="20"/>
              </w:rPr>
              <w:t xml:space="preserve"> </w:t>
            </w:r>
          </w:p>
          <w:p w14:paraId="152D708B" w14:textId="46694665" w:rsidR="00EE6E7F" w:rsidRPr="004E78BF" w:rsidRDefault="004E78BF" w:rsidP="00F341DA">
            <w:pPr>
              <w:pStyle w:val="ListParagraph"/>
              <w:numPr>
                <w:ilvl w:val="2"/>
                <w:numId w:val="84"/>
              </w:numPr>
              <w:spacing w:before="60" w:after="60"/>
              <w:ind w:left="1057" w:hanging="187"/>
              <w:contextualSpacing w:val="0"/>
              <w:rPr>
                <w:rFonts w:asciiTheme="minorHAnsi" w:eastAsia="MS Mincho" w:hAnsiTheme="minorHAnsi" w:cstheme="minorHAnsi"/>
                <w:sz w:val="20"/>
                <w:szCs w:val="20"/>
              </w:rPr>
            </w:pPr>
            <w:r w:rsidRPr="004675B1">
              <w:rPr>
                <w:rFonts w:asciiTheme="minorHAnsi" w:hAnsiTheme="minorHAnsi" w:cstheme="minorHAnsi"/>
                <w:b w:val="0"/>
                <w:bCs w:val="0"/>
                <w:sz w:val="20"/>
                <w:szCs w:val="20"/>
              </w:rPr>
              <w:t>HIE governing board security policy review</w:t>
            </w:r>
          </w:p>
        </w:tc>
        <w:tc>
          <w:tcPr>
            <w:tcW w:w="987" w:type="pct"/>
          </w:tcPr>
          <w:p w14:paraId="0B43338E" w14:textId="5C3C41C1" w:rsidR="00EE6E7F" w:rsidRPr="009A39FF" w:rsidRDefault="00EE6E7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037AECD5" w14:textId="1081DAA0" w:rsidR="00EE6E7F" w:rsidRPr="009A39FF" w:rsidRDefault="00EE6E7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7E769721"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0A6C28A0" w14:textId="14FD7FEE" w:rsidR="004E78BF" w:rsidRPr="00836F86" w:rsidRDefault="007403BC" w:rsidP="000903A6">
            <w:pPr>
              <w:spacing w:before="60" w:after="60"/>
              <w:rPr>
                <w:rFonts w:asciiTheme="minorHAnsi" w:hAnsiTheme="minorHAnsi" w:cstheme="minorHAnsi"/>
                <w:sz w:val="20"/>
                <w:szCs w:val="20"/>
              </w:rPr>
            </w:pPr>
            <w:r>
              <w:rPr>
                <w:rFonts w:asciiTheme="minorHAnsi" w:hAnsiTheme="minorHAnsi" w:cstheme="minorHAnsi"/>
                <w:sz w:val="20"/>
                <w:szCs w:val="20"/>
              </w:rPr>
              <w:lastRenderedPageBreak/>
              <w:t>Federal</w:t>
            </w:r>
            <w:r w:rsidR="00E93918">
              <w:rPr>
                <w:rFonts w:asciiTheme="minorHAnsi" w:hAnsiTheme="minorHAnsi" w:cstheme="minorHAnsi"/>
                <w:sz w:val="20"/>
                <w:szCs w:val="20"/>
              </w:rPr>
              <w:t xml:space="preserve"> Interoperability Policy Standards</w:t>
            </w:r>
            <w:r w:rsidR="004E78BF" w:rsidRPr="00836F86">
              <w:rPr>
                <w:rFonts w:asciiTheme="minorHAnsi" w:hAnsiTheme="minorHAnsi" w:cstheme="minorHAnsi"/>
                <w:sz w:val="20"/>
                <w:szCs w:val="20"/>
              </w:rPr>
              <w:t xml:space="preserve">: </w:t>
            </w:r>
            <w:r w:rsidR="004E78BF" w:rsidRPr="00836F86">
              <w:rPr>
                <w:rFonts w:asciiTheme="minorHAnsi" w:hAnsiTheme="minorHAnsi" w:cstheme="minorHAnsi"/>
                <w:b w:val="0"/>
                <w:bCs w:val="0"/>
                <w:sz w:val="20"/>
                <w:szCs w:val="20"/>
              </w:rPr>
              <w:t>All HIE services will comply with security</w:t>
            </w:r>
            <w:r w:rsidR="00227290">
              <w:rPr>
                <w:rFonts w:asciiTheme="minorHAnsi" w:hAnsiTheme="minorHAnsi" w:cstheme="minorHAnsi"/>
                <w:b w:val="0"/>
                <w:bCs w:val="0"/>
                <w:sz w:val="20"/>
                <w:szCs w:val="20"/>
              </w:rPr>
              <w:t>,</w:t>
            </w:r>
            <w:r w:rsidR="006C6DC4">
              <w:rPr>
                <w:rFonts w:asciiTheme="minorHAnsi" w:hAnsiTheme="minorHAnsi" w:cstheme="minorHAnsi"/>
                <w:b w:val="0"/>
                <w:bCs w:val="0"/>
                <w:sz w:val="20"/>
                <w:szCs w:val="20"/>
              </w:rPr>
              <w:t xml:space="preserve"> </w:t>
            </w:r>
            <w:r w:rsidR="004E78BF" w:rsidRPr="00836F86">
              <w:rPr>
                <w:rFonts w:asciiTheme="minorHAnsi" w:hAnsiTheme="minorHAnsi" w:cstheme="minorHAnsi"/>
                <w:b w:val="0"/>
                <w:bCs w:val="0"/>
                <w:sz w:val="20"/>
                <w:szCs w:val="20"/>
              </w:rPr>
              <w:t>privacy</w:t>
            </w:r>
            <w:r w:rsidR="00227290">
              <w:rPr>
                <w:rFonts w:asciiTheme="minorHAnsi" w:hAnsiTheme="minorHAnsi" w:cstheme="minorHAnsi"/>
                <w:b w:val="0"/>
                <w:bCs w:val="0"/>
                <w:sz w:val="20"/>
                <w:szCs w:val="20"/>
              </w:rPr>
              <w:t>, and interoperability</w:t>
            </w:r>
            <w:r w:rsidR="004E78BF" w:rsidRPr="00836F86">
              <w:rPr>
                <w:rFonts w:asciiTheme="minorHAnsi" w:hAnsiTheme="minorHAnsi" w:cstheme="minorHAnsi"/>
                <w:b w:val="0"/>
                <w:bCs w:val="0"/>
                <w:sz w:val="20"/>
                <w:szCs w:val="20"/>
              </w:rPr>
              <w:t xml:space="preserve"> policies</w:t>
            </w:r>
            <w:r w:rsidR="00863399">
              <w:rPr>
                <w:rFonts w:asciiTheme="minorHAnsi" w:hAnsiTheme="minorHAnsi" w:cstheme="minorHAnsi"/>
                <w:b w:val="0"/>
                <w:bCs w:val="0"/>
                <w:sz w:val="20"/>
                <w:szCs w:val="20"/>
              </w:rPr>
              <w:t xml:space="preserve"> as listed below</w:t>
            </w:r>
            <w:r w:rsidR="004E78BF" w:rsidRPr="00836F86">
              <w:rPr>
                <w:rFonts w:asciiTheme="minorHAnsi" w:hAnsiTheme="minorHAnsi" w:cstheme="minorHAnsi"/>
                <w:b w:val="0"/>
                <w:bCs w:val="0"/>
                <w:sz w:val="20"/>
                <w:szCs w:val="20"/>
              </w:rPr>
              <w:t>.</w:t>
            </w:r>
            <w:r w:rsidR="004E78BF" w:rsidRPr="00836F86">
              <w:rPr>
                <w:rFonts w:asciiTheme="minorHAnsi" w:hAnsiTheme="minorHAnsi" w:cstheme="minorHAnsi"/>
                <w:sz w:val="20"/>
                <w:szCs w:val="20"/>
              </w:rPr>
              <w:t xml:space="preserve"> </w:t>
            </w:r>
          </w:p>
          <w:p w14:paraId="725F481B" w14:textId="77777777" w:rsidR="004E78BF" w:rsidRPr="005E5C7B" w:rsidRDefault="004E78BF" w:rsidP="00F341DA">
            <w:pPr>
              <w:pStyle w:val="ListParagraph"/>
              <w:numPr>
                <w:ilvl w:val="1"/>
                <w:numId w:val="85"/>
              </w:numPr>
              <w:spacing w:before="60" w:after="60"/>
              <w:contextualSpacing w:val="0"/>
              <w:rPr>
                <w:rFonts w:asciiTheme="minorHAnsi" w:hAnsiTheme="minorHAnsi" w:cstheme="minorHAnsi"/>
                <w:b w:val="0"/>
                <w:bCs w:val="0"/>
                <w:sz w:val="20"/>
                <w:szCs w:val="20"/>
              </w:rPr>
            </w:pPr>
            <w:r w:rsidRPr="005E5C7B">
              <w:rPr>
                <w:rFonts w:asciiTheme="minorHAnsi" w:hAnsiTheme="minorHAnsi" w:cstheme="minorHAnsi"/>
                <w:b w:val="0"/>
                <w:bCs w:val="0"/>
                <w:sz w:val="20"/>
                <w:szCs w:val="20"/>
              </w:rPr>
              <w:t xml:space="preserve">The vendor confirms that the following identified policies are being followed: </w:t>
            </w:r>
          </w:p>
          <w:p w14:paraId="4C5E26AC"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Federal Information Security Management Act (FISMA)</w:t>
            </w:r>
          </w:p>
          <w:p w14:paraId="52FE7FDB"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Health Insurance Portability and Accountability Act (HIPAA)</w:t>
            </w:r>
          </w:p>
          <w:p w14:paraId="087BD991"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Health Information Technology for economic and Clinical Health Act (HITECH)</w:t>
            </w:r>
          </w:p>
          <w:p w14:paraId="12563D76"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Patient Protection and Affordable Care Act</w:t>
            </w:r>
          </w:p>
          <w:p w14:paraId="11808AAC"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National Security Agency (NSA) Security Recommendation Guides</w:t>
            </w:r>
          </w:p>
          <w:p w14:paraId="0B54A1CF" w14:textId="5C218894"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Office of the National Coordinator for Health Information Technology (ONC) Cures Act Final Rule on Information Blocking</w:t>
            </w:r>
          </w:p>
          <w:p w14:paraId="48D033F4" w14:textId="77777777" w:rsidR="004E78BF" w:rsidRPr="004675B1" w:rsidRDefault="004E78BF"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Centers for Medicare and Medicaid Services (CMS) Interoperability and Patient Access Final Rule</w:t>
            </w:r>
          </w:p>
          <w:p w14:paraId="6950E741" w14:textId="77777777" w:rsidR="00EE6E7F" w:rsidRPr="00C97CC7" w:rsidRDefault="004E78BF" w:rsidP="00F341DA">
            <w:pPr>
              <w:pStyle w:val="ListParagraph"/>
              <w:numPr>
                <w:ilvl w:val="2"/>
                <w:numId w:val="85"/>
              </w:numPr>
              <w:spacing w:before="60" w:after="60"/>
              <w:ind w:left="967" w:hanging="187"/>
              <w:contextualSpacing w:val="0"/>
              <w:rPr>
                <w:rFonts w:asciiTheme="minorHAnsi" w:hAnsiTheme="minorHAnsi" w:cstheme="minorHAnsi"/>
                <w:b w:val="0"/>
                <w:sz w:val="20"/>
                <w:szCs w:val="20"/>
              </w:rPr>
            </w:pPr>
            <w:r w:rsidRPr="004675B1">
              <w:rPr>
                <w:rFonts w:asciiTheme="minorHAnsi" w:hAnsiTheme="minorHAnsi" w:cstheme="minorHAnsi"/>
                <w:b w:val="0"/>
                <w:bCs w:val="0"/>
                <w:sz w:val="20"/>
                <w:szCs w:val="20"/>
              </w:rPr>
              <w:t>Commonwealth regulations regarding privacy and security</w:t>
            </w:r>
          </w:p>
          <w:p w14:paraId="3063FB17" w14:textId="0CF9F609" w:rsidR="003F5F45" w:rsidRPr="00D607A8" w:rsidRDefault="003F5F45" w:rsidP="00F341DA">
            <w:pPr>
              <w:pStyle w:val="ListParagraph"/>
              <w:numPr>
                <w:ilvl w:val="2"/>
                <w:numId w:val="85"/>
              </w:numPr>
              <w:spacing w:before="60" w:after="60"/>
              <w:ind w:left="967" w:hanging="187"/>
              <w:contextualSpacing w:val="0"/>
              <w:rPr>
                <w:rFonts w:asciiTheme="minorHAnsi" w:hAnsiTheme="minorHAnsi" w:cstheme="minorHAnsi"/>
                <w:b w:val="0"/>
                <w:bCs w:val="0"/>
                <w:sz w:val="20"/>
                <w:szCs w:val="20"/>
              </w:rPr>
            </w:pPr>
            <w:r w:rsidRPr="4E1A54CA">
              <w:rPr>
                <w:rFonts w:asciiTheme="minorHAnsi" w:hAnsiTheme="minorHAnsi"/>
                <w:b w:val="0"/>
                <w:sz w:val="20"/>
                <w:szCs w:val="20"/>
              </w:rPr>
              <w:t>TEFCA</w:t>
            </w:r>
          </w:p>
        </w:tc>
        <w:tc>
          <w:tcPr>
            <w:tcW w:w="987" w:type="pct"/>
          </w:tcPr>
          <w:p w14:paraId="06A45EF3" w14:textId="0EB35EAF" w:rsidR="00EE6E7F" w:rsidRPr="009A39FF" w:rsidRDefault="00EE6E7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7A894059" w14:textId="346BB1AF" w:rsidR="00EE6E7F" w:rsidRPr="009A39FF" w:rsidRDefault="00EE6E7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25D262FE"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4238C11A" w14:textId="22DB7C44" w:rsidR="004E78BF" w:rsidRPr="00836F86" w:rsidRDefault="004E78B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Security</w:t>
            </w:r>
            <w:r w:rsidR="00FC59BB">
              <w:rPr>
                <w:rFonts w:asciiTheme="minorHAnsi" w:hAnsiTheme="minorHAnsi" w:cstheme="minorHAnsi"/>
                <w:sz w:val="20"/>
                <w:szCs w:val="20"/>
              </w:rPr>
              <w:t xml:space="preserve"> </w:t>
            </w:r>
            <w:r w:rsidR="00922D12">
              <w:rPr>
                <w:rFonts w:asciiTheme="minorHAnsi" w:hAnsiTheme="minorHAnsi" w:cstheme="minorHAnsi"/>
                <w:sz w:val="20"/>
                <w:szCs w:val="20"/>
              </w:rPr>
              <w:t>–</w:t>
            </w:r>
            <w:r w:rsidR="00FC59BB">
              <w:rPr>
                <w:rFonts w:asciiTheme="minorHAnsi" w:hAnsiTheme="minorHAnsi" w:cstheme="minorHAnsi"/>
                <w:sz w:val="20"/>
                <w:szCs w:val="20"/>
              </w:rPr>
              <w:t xml:space="preserve"> Hosting</w:t>
            </w:r>
            <w:r w:rsidRPr="00836F86">
              <w:rPr>
                <w:rFonts w:asciiTheme="minorHAnsi" w:hAnsiTheme="minorHAnsi" w:cstheme="minorHAnsi"/>
                <w:sz w:val="20"/>
                <w:szCs w:val="20"/>
              </w:rPr>
              <w:t xml:space="preserve">: </w:t>
            </w:r>
            <w:r w:rsidRPr="00836F86">
              <w:rPr>
                <w:rFonts w:asciiTheme="minorHAnsi" w:hAnsiTheme="minorHAnsi" w:cstheme="minorHAnsi"/>
                <w:b w:val="0"/>
                <w:bCs w:val="0"/>
                <w:sz w:val="20"/>
                <w:szCs w:val="20"/>
              </w:rPr>
              <w:t>The vendor confirms that hosting services are controlled and managed for access, information exchange, and identity authentication.</w:t>
            </w:r>
          </w:p>
          <w:p w14:paraId="1654E5CE" w14:textId="77777777" w:rsidR="004E78BF" w:rsidRPr="00836F86" w:rsidRDefault="004E78BF" w:rsidP="00F341DA">
            <w:pPr>
              <w:pStyle w:val="ListParagraph"/>
              <w:numPr>
                <w:ilvl w:val="1"/>
                <w:numId w:val="86"/>
              </w:numPr>
              <w:spacing w:before="60" w:after="60"/>
              <w:contextualSpacing w:val="0"/>
              <w:rPr>
                <w:rFonts w:asciiTheme="minorHAnsi" w:hAnsiTheme="minorHAnsi" w:cstheme="minorHAnsi"/>
                <w:sz w:val="20"/>
                <w:szCs w:val="20"/>
              </w:rPr>
            </w:pPr>
            <w:r w:rsidRPr="00836F86">
              <w:rPr>
                <w:rFonts w:asciiTheme="minorHAnsi" w:hAnsiTheme="minorHAnsi" w:cstheme="minorHAnsi"/>
                <w:sz w:val="20"/>
                <w:szCs w:val="20"/>
              </w:rPr>
              <w:t>The vendor confirms that:</w:t>
            </w:r>
          </w:p>
          <w:p w14:paraId="5200BDC4" w14:textId="29F74A1C" w:rsidR="004E78BF" w:rsidRPr="004675B1" w:rsidRDefault="004E78BF" w:rsidP="00F341DA">
            <w:pPr>
              <w:pStyle w:val="ListParagraph"/>
              <w:numPr>
                <w:ilvl w:val="2"/>
                <w:numId w:val="86"/>
              </w:numPr>
              <w:spacing w:before="60" w:after="60"/>
              <w:ind w:left="96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lastRenderedPageBreak/>
              <w:t>Hosting services have controls in place to prevent unauthorized access, with automated monitoring of service availability and to detect potential intrusions in the production environment</w:t>
            </w:r>
          </w:p>
          <w:p w14:paraId="017CEF4F" w14:textId="4738845F" w:rsidR="004E78BF" w:rsidRPr="004675B1" w:rsidRDefault="004E78BF" w:rsidP="00F341DA">
            <w:pPr>
              <w:pStyle w:val="ListParagraph"/>
              <w:numPr>
                <w:ilvl w:val="2"/>
                <w:numId w:val="86"/>
              </w:numPr>
              <w:spacing w:before="60" w:after="60"/>
              <w:ind w:left="96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 xml:space="preserve">Hosting Services support the exchange of SAML 2.0 </w:t>
            </w:r>
            <w:r w:rsidR="00313341">
              <w:rPr>
                <w:rFonts w:asciiTheme="minorHAnsi" w:hAnsiTheme="minorHAnsi" w:cstheme="minorHAnsi"/>
                <w:b w:val="0"/>
                <w:bCs w:val="0"/>
                <w:sz w:val="20"/>
                <w:szCs w:val="20"/>
              </w:rPr>
              <w:t xml:space="preserve">(or </w:t>
            </w:r>
            <w:r w:rsidR="003363D8">
              <w:rPr>
                <w:rFonts w:asciiTheme="minorHAnsi" w:hAnsiTheme="minorHAnsi" w:cstheme="minorHAnsi"/>
                <w:b w:val="0"/>
                <w:bCs w:val="0"/>
                <w:sz w:val="20"/>
                <w:szCs w:val="20"/>
              </w:rPr>
              <w:t xml:space="preserve">supported </w:t>
            </w:r>
            <w:r w:rsidR="00313341">
              <w:rPr>
                <w:rFonts w:asciiTheme="minorHAnsi" w:hAnsiTheme="minorHAnsi" w:cstheme="minorHAnsi"/>
                <w:b w:val="0"/>
                <w:bCs w:val="0"/>
                <w:sz w:val="20"/>
                <w:szCs w:val="20"/>
              </w:rPr>
              <w:t xml:space="preserve">version) </w:t>
            </w:r>
            <w:r w:rsidRPr="004675B1">
              <w:rPr>
                <w:rFonts w:asciiTheme="minorHAnsi" w:hAnsiTheme="minorHAnsi" w:cstheme="minorHAnsi"/>
                <w:b w:val="0"/>
                <w:bCs w:val="0"/>
                <w:sz w:val="20"/>
                <w:szCs w:val="20"/>
              </w:rPr>
              <w:t xml:space="preserve">security assertions with other systems, including </w:t>
            </w:r>
            <w:r w:rsidR="00F45E29">
              <w:rPr>
                <w:rFonts w:asciiTheme="minorHAnsi" w:hAnsiTheme="minorHAnsi" w:cstheme="minorHAnsi"/>
                <w:b w:val="0"/>
                <w:bCs w:val="0"/>
                <w:sz w:val="20"/>
                <w:szCs w:val="20"/>
              </w:rPr>
              <w:t>e</w:t>
            </w:r>
            <w:r w:rsidRPr="004675B1">
              <w:rPr>
                <w:rFonts w:asciiTheme="minorHAnsi" w:hAnsiTheme="minorHAnsi" w:cstheme="minorHAnsi"/>
                <w:b w:val="0"/>
                <w:bCs w:val="0"/>
                <w:sz w:val="20"/>
                <w:szCs w:val="20"/>
              </w:rPr>
              <w:t>Health Exchange and custom attributes. Vendor will use SAML attributes for logging and access control determination decisions</w:t>
            </w:r>
          </w:p>
          <w:p w14:paraId="30F55AC7" w14:textId="23BA4A72" w:rsidR="004E78BF" w:rsidRPr="004675B1" w:rsidRDefault="004E78BF" w:rsidP="00F341DA">
            <w:pPr>
              <w:pStyle w:val="ListParagraph"/>
              <w:numPr>
                <w:ilvl w:val="2"/>
                <w:numId w:val="86"/>
              </w:numPr>
              <w:spacing w:before="60" w:after="60"/>
              <w:ind w:left="967"/>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Hosting services support</w:t>
            </w:r>
            <w:r w:rsidR="00575961">
              <w:rPr>
                <w:rFonts w:asciiTheme="minorHAnsi" w:hAnsiTheme="minorHAnsi" w:cstheme="minorHAnsi"/>
                <w:b w:val="0"/>
                <w:bCs w:val="0"/>
                <w:sz w:val="20"/>
                <w:szCs w:val="20"/>
              </w:rPr>
              <w:t>:</w:t>
            </w:r>
          </w:p>
          <w:p w14:paraId="4FA85D29" w14:textId="0AD01713" w:rsidR="004E78BF" w:rsidRPr="004675B1" w:rsidRDefault="004E78BF" w:rsidP="00F341DA">
            <w:pPr>
              <w:pStyle w:val="ListParagraph"/>
              <w:numPr>
                <w:ilvl w:val="2"/>
                <w:numId w:val="90"/>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OAuth federated authentication for both web services as well as for browsers</w:t>
            </w:r>
          </w:p>
          <w:p w14:paraId="090ABD36" w14:textId="4671AE94" w:rsidR="004E78BF" w:rsidRPr="004675B1" w:rsidRDefault="004E78BF" w:rsidP="00F341DA">
            <w:pPr>
              <w:pStyle w:val="ListParagraph"/>
              <w:numPr>
                <w:ilvl w:val="2"/>
                <w:numId w:val="90"/>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OCSP x.509 certificate revocation detection</w:t>
            </w:r>
            <w:r w:rsidR="00313341">
              <w:rPr>
                <w:rFonts w:asciiTheme="minorHAnsi" w:hAnsiTheme="minorHAnsi" w:cstheme="minorHAnsi"/>
                <w:b w:val="0"/>
                <w:bCs w:val="0"/>
                <w:sz w:val="20"/>
                <w:szCs w:val="20"/>
              </w:rPr>
              <w:t xml:space="preserve"> (or </w:t>
            </w:r>
            <w:r w:rsidR="009C1D0C">
              <w:rPr>
                <w:rFonts w:asciiTheme="minorHAnsi" w:hAnsiTheme="minorHAnsi" w:cstheme="minorHAnsi"/>
                <w:b w:val="0"/>
                <w:bCs w:val="0"/>
                <w:sz w:val="20"/>
                <w:szCs w:val="20"/>
              </w:rPr>
              <w:t>supported</w:t>
            </w:r>
            <w:r w:rsidR="00313341">
              <w:rPr>
                <w:rFonts w:asciiTheme="minorHAnsi" w:hAnsiTheme="minorHAnsi" w:cstheme="minorHAnsi"/>
                <w:b w:val="0"/>
                <w:bCs w:val="0"/>
                <w:sz w:val="20"/>
                <w:szCs w:val="20"/>
              </w:rPr>
              <w:t xml:space="preserve"> version) </w:t>
            </w:r>
          </w:p>
          <w:p w14:paraId="7C096B2C" w14:textId="0D817BAC" w:rsidR="004E78BF" w:rsidRPr="004675B1" w:rsidRDefault="007403BC" w:rsidP="00F341DA">
            <w:pPr>
              <w:pStyle w:val="ListParagraph"/>
              <w:numPr>
                <w:ilvl w:val="2"/>
                <w:numId w:val="90"/>
              </w:numPr>
              <w:spacing w:before="60" w:after="60"/>
              <w:contextualSpacing w:val="0"/>
              <w:rPr>
                <w:rFonts w:asciiTheme="minorHAnsi" w:hAnsiTheme="minorHAnsi" w:cstheme="minorHAnsi"/>
                <w:b w:val="0"/>
                <w:bCs w:val="0"/>
                <w:sz w:val="20"/>
                <w:szCs w:val="20"/>
              </w:rPr>
            </w:pPr>
            <w:r>
              <w:rPr>
                <w:rFonts w:asciiTheme="minorHAnsi" w:hAnsiTheme="minorHAnsi" w:cstheme="minorHAnsi"/>
                <w:b w:val="0"/>
                <w:bCs w:val="0"/>
                <w:sz w:val="20"/>
                <w:szCs w:val="20"/>
              </w:rPr>
              <w:t>O</w:t>
            </w:r>
            <w:r w:rsidRPr="004675B1">
              <w:rPr>
                <w:rFonts w:asciiTheme="minorHAnsi" w:hAnsiTheme="minorHAnsi" w:cstheme="minorHAnsi"/>
                <w:b w:val="0"/>
                <w:bCs w:val="0"/>
                <w:sz w:val="20"/>
                <w:szCs w:val="20"/>
              </w:rPr>
              <w:t>ther</w:t>
            </w:r>
            <w:r w:rsidR="004E78BF" w:rsidRPr="004675B1">
              <w:rPr>
                <w:rFonts w:asciiTheme="minorHAnsi" w:hAnsiTheme="minorHAnsi" w:cstheme="minorHAnsi"/>
                <w:b w:val="0"/>
                <w:bCs w:val="0"/>
                <w:sz w:val="20"/>
                <w:szCs w:val="20"/>
              </w:rPr>
              <w:t xml:space="preserve"> methods of x.509 certification revocation detection</w:t>
            </w:r>
          </w:p>
          <w:p w14:paraId="151797F6" w14:textId="0CA4F247" w:rsidR="002A5E59" w:rsidRPr="004675B1" w:rsidRDefault="004E78BF" w:rsidP="00F341DA">
            <w:pPr>
              <w:pStyle w:val="ListParagraph"/>
              <w:numPr>
                <w:ilvl w:val="1"/>
                <w:numId w:val="86"/>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Hosting services will support identity federation standards (SAML, SPML, WS-Federation, etc.) to authenticate and authorize users. The NIST SP 800-63 document suite provides technical requirements for federal agencies implementing digital identity services (4-volume set)</w:t>
            </w:r>
          </w:p>
          <w:p w14:paraId="225DB3E7" w14:textId="5D1E93BF" w:rsidR="00EE6E7F" w:rsidRPr="00665A1D" w:rsidRDefault="004E78BF" w:rsidP="00F341DA">
            <w:pPr>
              <w:pStyle w:val="ListParagraph"/>
              <w:numPr>
                <w:ilvl w:val="1"/>
                <w:numId w:val="86"/>
              </w:numPr>
              <w:spacing w:before="60" w:after="60"/>
              <w:contextualSpacing w:val="0"/>
              <w:rPr>
                <w:rFonts w:asciiTheme="minorHAnsi" w:hAnsiTheme="minorHAnsi" w:cstheme="minorHAnsi"/>
                <w:b w:val="0"/>
                <w:sz w:val="20"/>
                <w:szCs w:val="20"/>
              </w:rPr>
            </w:pPr>
            <w:r w:rsidRPr="00B55B04">
              <w:rPr>
                <w:rFonts w:asciiTheme="minorHAnsi" w:hAnsiTheme="minorHAnsi" w:cstheme="minorHAnsi"/>
                <w:b w:val="0"/>
                <w:sz w:val="20"/>
                <w:szCs w:val="20"/>
              </w:rPr>
              <w:t xml:space="preserve">Hosting services will provide strong (multi-factor) authentication options (digital certs, tokens, biometrics, etc.) for </w:t>
            </w:r>
            <w:r w:rsidRPr="00B55B04">
              <w:rPr>
                <w:rFonts w:asciiTheme="minorHAnsi" w:hAnsiTheme="minorHAnsi" w:cstheme="minorHAnsi"/>
                <w:b w:val="0"/>
                <w:sz w:val="20"/>
                <w:szCs w:val="20"/>
              </w:rPr>
              <w:lastRenderedPageBreak/>
              <w:t>user access in keeping with the NIST SP in cited above</w:t>
            </w:r>
            <w:r w:rsidRPr="002A5E59">
              <w:rPr>
                <w:rFonts w:asciiTheme="minorHAnsi" w:hAnsiTheme="minorHAnsi" w:cstheme="minorHAnsi"/>
                <w:sz w:val="20"/>
                <w:szCs w:val="20"/>
              </w:rPr>
              <w:t>.</w:t>
            </w:r>
          </w:p>
        </w:tc>
        <w:tc>
          <w:tcPr>
            <w:tcW w:w="987" w:type="pct"/>
          </w:tcPr>
          <w:p w14:paraId="7FCB5A7D" w14:textId="124423B0" w:rsidR="00EE6E7F" w:rsidRPr="009A39FF" w:rsidRDefault="00EE6E7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48CE1A43" w14:textId="483F0B7E" w:rsidR="00EE6E7F" w:rsidRPr="009A39FF" w:rsidRDefault="00EE6E7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1E506310"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08A1B122" w14:textId="5FBC0AD5" w:rsidR="00EE6E7F" w:rsidRPr="004675B1" w:rsidRDefault="004E78B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lastRenderedPageBreak/>
              <w:t>Security</w:t>
            </w:r>
            <w:r w:rsidR="00333488">
              <w:rPr>
                <w:rFonts w:asciiTheme="minorHAnsi" w:hAnsiTheme="minorHAnsi" w:cstheme="minorHAnsi"/>
                <w:sz w:val="20"/>
                <w:szCs w:val="20"/>
              </w:rPr>
              <w:t xml:space="preserve"> </w:t>
            </w:r>
            <w:r w:rsidR="00EF34F7">
              <w:rPr>
                <w:rFonts w:asciiTheme="minorHAnsi" w:hAnsiTheme="minorHAnsi" w:cstheme="minorHAnsi"/>
                <w:sz w:val="20"/>
                <w:szCs w:val="20"/>
              </w:rPr>
              <w:t>–</w:t>
            </w:r>
            <w:r w:rsidR="00333488">
              <w:rPr>
                <w:rFonts w:asciiTheme="minorHAnsi" w:hAnsiTheme="minorHAnsi" w:cstheme="minorHAnsi"/>
                <w:sz w:val="20"/>
                <w:szCs w:val="20"/>
              </w:rPr>
              <w:t xml:space="preserve"> Encryption</w:t>
            </w:r>
            <w:r w:rsidRPr="00130DC4">
              <w:rPr>
                <w:rFonts w:asciiTheme="minorHAnsi" w:hAnsiTheme="minorHAnsi" w:cstheme="minorHAnsi"/>
                <w:b w:val="0"/>
                <w:bCs w:val="0"/>
                <w:sz w:val="20"/>
                <w:szCs w:val="20"/>
              </w:rPr>
              <w:t xml:space="preserve">: The vendor confirms that </w:t>
            </w:r>
            <w:r w:rsidR="00FF2B91">
              <w:rPr>
                <w:rFonts w:asciiTheme="minorHAnsi" w:hAnsiTheme="minorHAnsi" w:cstheme="minorHAnsi"/>
                <w:b w:val="0"/>
                <w:bCs w:val="0"/>
                <w:sz w:val="20"/>
                <w:szCs w:val="20"/>
              </w:rPr>
              <w:t>Encryption</w:t>
            </w:r>
            <w:r w:rsidR="00FF2B91" w:rsidRPr="00130DC4">
              <w:rPr>
                <w:rFonts w:asciiTheme="minorHAnsi" w:hAnsiTheme="minorHAnsi" w:cstheme="minorHAnsi"/>
                <w:b w:val="0"/>
                <w:bCs w:val="0"/>
                <w:sz w:val="20"/>
                <w:szCs w:val="20"/>
              </w:rPr>
              <w:t xml:space="preserve"> </w:t>
            </w:r>
            <w:r w:rsidRPr="00130DC4">
              <w:rPr>
                <w:rFonts w:asciiTheme="minorHAnsi" w:hAnsiTheme="minorHAnsi" w:cstheme="minorHAnsi"/>
                <w:b w:val="0"/>
                <w:bCs w:val="0"/>
                <w:sz w:val="20"/>
                <w:szCs w:val="20"/>
              </w:rPr>
              <w:t xml:space="preserve">Services </w:t>
            </w:r>
            <w:r w:rsidR="007A7A10">
              <w:rPr>
                <w:rFonts w:asciiTheme="minorHAnsi" w:hAnsiTheme="minorHAnsi" w:cstheme="minorHAnsi"/>
                <w:b w:val="0"/>
                <w:bCs w:val="0"/>
                <w:sz w:val="20"/>
                <w:szCs w:val="20"/>
              </w:rPr>
              <w:t xml:space="preserve">work to </w:t>
            </w:r>
            <w:r w:rsidRPr="00130DC4">
              <w:rPr>
                <w:rFonts w:asciiTheme="minorHAnsi" w:hAnsiTheme="minorHAnsi" w:cstheme="minorHAnsi"/>
                <w:b w:val="0"/>
                <w:bCs w:val="0"/>
                <w:sz w:val="20"/>
                <w:szCs w:val="20"/>
              </w:rPr>
              <w:t>ensure that all health information in transit and at rest is unusable, unreadable, or indecipherable to unauthorized individuals through use of a technology or methodology specified by the Secretary of the Federal Department of Health and Human Services in the guidance issued under section 13402 (h)(2) of the American Recovery and Reinvestment Act of 2009 (P.L. 111-5), or any update to that guidance.</w:t>
            </w:r>
          </w:p>
        </w:tc>
        <w:tc>
          <w:tcPr>
            <w:tcW w:w="987" w:type="pct"/>
          </w:tcPr>
          <w:p w14:paraId="3E15112F" w14:textId="5B19CEAF" w:rsidR="00EE6E7F" w:rsidRPr="009A39FF" w:rsidRDefault="00EE6E7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1D75E7A" w14:textId="17D41707" w:rsidR="00EE6E7F" w:rsidRPr="009A39FF" w:rsidRDefault="00EE6E7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795ECD70"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498BEC8E" w14:textId="08B1AFD8" w:rsidR="00EE6E7F" w:rsidRPr="004675B1" w:rsidRDefault="004E78B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Security</w:t>
            </w:r>
            <w:r w:rsidR="00536339">
              <w:rPr>
                <w:rFonts w:asciiTheme="minorHAnsi" w:hAnsiTheme="minorHAnsi" w:cstheme="minorHAnsi"/>
                <w:sz w:val="20"/>
                <w:szCs w:val="20"/>
              </w:rPr>
              <w:t xml:space="preserve"> – </w:t>
            </w:r>
            <w:r w:rsidR="007403BC">
              <w:rPr>
                <w:rFonts w:asciiTheme="minorHAnsi" w:hAnsiTheme="minorHAnsi" w:cstheme="minorHAnsi"/>
                <w:sz w:val="20"/>
                <w:szCs w:val="20"/>
              </w:rPr>
              <w:t>Intru</w:t>
            </w:r>
            <w:r w:rsidR="00B55B04">
              <w:rPr>
                <w:rFonts w:asciiTheme="minorHAnsi" w:hAnsiTheme="minorHAnsi" w:cstheme="minorHAnsi"/>
                <w:sz w:val="20"/>
                <w:szCs w:val="20"/>
              </w:rPr>
              <w:t>s</w:t>
            </w:r>
            <w:r w:rsidR="007403BC">
              <w:rPr>
                <w:rFonts w:asciiTheme="minorHAnsi" w:hAnsiTheme="minorHAnsi" w:cstheme="minorHAnsi"/>
                <w:sz w:val="20"/>
                <w:szCs w:val="20"/>
              </w:rPr>
              <w:t>ion</w:t>
            </w:r>
            <w:r w:rsidR="00536339">
              <w:rPr>
                <w:rFonts w:asciiTheme="minorHAnsi" w:hAnsiTheme="minorHAnsi" w:cstheme="minorHAnsi"/>
                <w:sz w:val="20"/>
                <w:szCs w:val="20"/>
              </w:rPr>
              <w:t>-Detection and Firewall Protection</w:t>
            </w:r>
            <w:r w:rsidRPr="00130DC4">
              <w:rPr>
                <w:rFonts w:asciiTheme="minorHAnsi" w:hAnsiTheme="minorHAnsi" w:cstheme="minorHAnsi"/>
                <w:b w:val="0"/>
                <w:bCs w:val="0"/>
                <w:sz w:val="20"/>
                <w:szCs w:val="20"/>
              </w:rPr>
              <w:t>: The vendor confirms that hosting services will have aggressive intrusion-detection and firewall protection per NIST SP 800-53A Rev 5 SI-04(01) System Monitoring, System-wide intrusion detection systems.</w:t>
            </w:r>
          </w:p>
        </w:tc>
        <w:tc>
          <w:tcPr>
            <w:tcW w:w="987" w:type="pct"/>
          </w:tcPr>
          <w:p w14:paraId="17FEE5D2" w14:textId="081AEED0" w:rsidR="00EE6E7F" w:rsidRPr="009A39FF" w:rsidRDefault="00EE6E7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6A8B3435" w14:textId="1C1EAA1A" w:rsidR="00EE6E7F" w:rsidRPr="009A39FF" w:rsidRDefault="00EE6E7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77759CD2"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1DC978F0" w14:textId="4A0ACD9C" w:rsidR="004E78BF" w:rsidRPr="00D607A8" w:rsidRDefault="004E78BF"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Security</w:t>
            </w:r>
            <w:r w:rsidR="00736552">
              <w:rPr>
                <w:rFonts w:asciiTheme="minorHAnsi" w:hAnsiTheme="minorHAnsi" w:cstheme="minorHAnsi"/>
                <w:sz w:val="20"/>
                <w:szCs w:val="20"/>
              </w:rPr>
              <w:t xml:space="preserve"> – Legal Compliance</w:t>
            </w:r>
            <w:r w:rsidRPr="00D607A8">
              <w:rPr>
                <w:rFonts w:asciiTheme="minorHAnsi" w:hAnsiTheme="minorHAnsi" w:cstheme="minorHAnsi"/>
                <w:b w:val="0"/>
                <w:bCs w:val="0"/>
                <w:sz w:val="20"/>
                <w:szCs w:val="20"/>
              </w:rPr>
              <w:t xml:space="preserve">: The vendor confirms that </w:t>
            </w:r>
            <w:r w:rsidR="00295CA1">
              <w:rPr>
                <w:rFonts w:asciiTheme="minorHAnsi" w:hAnsiTheme="minorHAnsi" w:cstheme="minorHAnsi"/>
                <w:b w:val="0"/>
                <w:bCs w:val="0"/>
                <w:sz w:val="20"/>
                <w:szCs w:val="20"/>
              </w:rPr>
              <w:t>a</w:t>
            </w:r>
            <w:r w:rsidRPr="00D607A8">
              <w:rPr>
                <w:rFonts w:asciiTheme="minorHAnsi" w:hAnsiTheme="minorHAnsi" w:cstheme="minorHAnsi"/>
                <w:b w:val="0"/>
                <w:bCs w:val="0"/>
                <w:sz w:val="20"/>
                <w:szCs w:val="20"/>
              </w:rPr>
              <w:t>ll HIE services will cooperate completely with the Commonwealth's Chief Information Officer in the detection of any security vulnerability of the hosting infrastructure, reporting any security breach with conformance with PR laws.</w:t>
            </w:r>
          </w:p>
          <w:p w14:paraId="4450E1B1" w14:textId="1B7EACFF" w:rsidR="00EE6E7F" w:rsidRPr="00D607A8" w:rsidRDefault="004E78BF" w:rsidP="00F341DA">
            <w:pPr>
              <w:pStyle w:val="ListParagraph"/>
              <w:numPr>
                <w:ilvl w:val="1"/>
                <w:numId w:val="77"/>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 xml:space="preserve">The vendor confirms awareness of PR laws and PRITS (Puerto Rico Innovation &amp; Technology Service </w:t>
            </w:r>
            <w:r w:rsidR="00EC4910">
              <w:rPr>
                <w:rFonts w:asciiTheme="minorHAnsi" w:hAnsiTheme="minorHAnsi" w:cstheme="minorHAnsi"/>
                <w:b w:val="0"/>
                <w:bCs w:val="0"/>
                <w:sz w:val="20"/>
                <w:szCs w:val="20"/>
              </w:rPr>
              <w:t>–</w:t>
            </w:r>
            <w:r w:rsidRPr="004675B1">
              <w:rPr>
                <w:rFonts w:asciiTheme="minorHAnsi" w:hAnsiTheme="minorHAnsi" w:cstheme="minorHAnsi"/>
                <w:b w:val="0"/>
                <w:bCs w:val="0"/>
                <w:sz w:val="20"/>
                <w:szCs w:val="20"/>
              </w:rPr>
              <w:t xml:space="preserve"> the central agency driving technological advancements) policies for detecting and reporting vulnerabilities, including security breaches.</w:t>
            </w:r>
          </w:p>
        </w:tc>
        <w:tc>
          <w:tcPr>
            <w:tcW w:w="987" w:type="pct"/>
          </w:tcPr>
          <w:p w14:paraId="6DEF1725" w14:textId="0C484FDF" w:rsidR="00EE6E7F" w:rsidRPr="009A39FF" w:rsidRDefault="00EE6E7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2AF0EB0A" w14:textId="04A7E1AE" w:rsidR="00EE6E7F" w:rsidRPr="009A39FF" w:rsidRDefault="00EE6E7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76A67662"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454F4E74" w14:textId="65BF6583" w:rsidR="00EE6E7F" w:rsidRPr="004675B1" w:rsidRDefault="004E78BF" w:rsidP="000903A6">
            <w:pPr>
              <w:spacing w:before="60" w:after="60"/>
              <w:rPr>
                <w:rFonts w:asciiTheme="minorHAnsi" w:eastAsia="MS Mincho" w:hAnsiTheme="minorHAnsi" w:cstheme="minorHAnsi"/>
                <w:b w:val="0"/>
                <w:bCs w:val="0"/>
                <w:sz w:val="20"/>
                <w:szCs w:val="20"/>
              </w:rPr>
            </w:pPr>
            <w:r w:rsidRPr="006E5755">
              <w:rPr>
                <w:rFonts w:asciiTheme="minorHAnsi" w:hAnsiTheme="minorHAnsi" w:cstheme="minorHAnsi"/>
                <w:sz w:val="20"/>
                <w:szCs w:val="20"/>
              </w:rPr>
              <w:t>Security</w:t>
            </w:r>
            <w:r w:rsidR="00736552">
              <w:rPr>
                <w:rFonts w:asciiTheme="minorHAnsi" w:hAnsiTheme="minorHAnsi" w:cstheme="minorHAnsi"/>
                <w:sz w:val="20"/>
                <w:szCs w:val="20"/>
              </w:rPr>
              <w:t xml:space="preserve"> </w:t>
            </w:r>
            <w:r w:rsidR="00EC4910">
              <w:rPr>
                <w:rFonts w:asciiTheme="minorHAnsi" w:hAnsiTheme="minorHAnsi" w:cstheme="minorHAnsi"/>
                <w:sz w:val="20"/>
                <w:szCs w:val="20"/>
              </w:rPr>
              <w:t>–</w:t>
            </w:r>
            <w:r w:rsidR="00736552">
              <w:rPr>
                <w:rFonts w:asciiTheme="minorHAnsi" w:hAnsiTheme="minorHAnsi" w:cstheme="minorHAnsi"/>
                <w:sz w:val="20"/>
                <w:szCs w:val="20"/>
              </w:rPr>
              <w:t xml:space="preserve"> Reporting</w:t>
            </w:r>
            <w:r w:rsidRPr="002A5E59">
              <w:rPr>
                <w:rFonts w:asciiTheme="minorHAnsi" w:hAnsiTheme="minorHAnsi" w:cstheme="minorHAnsi"/>
                <w:b w:val="0"/>
                <w:bCs w:val="0"/>
                <w:sz w:val="20"/>
                <w:szCs w:val="20"/>
              </w:rPr>
              <w:t>:</w:t>
            </w:r>
            <w:r w:rsidRPr="00D607A8">
              <w:rPr>
                <w:rFonts w:asciiTheme="minorHAnsi" w:hAnsiTheme="minorHAnsi" w:cstheme="minorHAnsi"/>
                <w:b w:val="0"/>
                <w:bCs w:val="0"/>
                <w:sz w:val="20"/>
                <w:szCs w:val="20"/>
              </w:rPr>
              <w:t xml:space="preserve"> The vendor must demonstrate that Hosting services will </w:t>
            </w:r>
            <w:r w:rsidRPr="00D607A8">
              <w:rPr>
                <w:rFonts w:asciiTheme="minorHAnsi" w:hAnsiTheme="minorHAnsi" w:cstheme="minorHAnsi"/>
                <w:b w:val="0"/>
                <w:bCs w:val="0"/>
                <w:sz w:val="20"/>
                <w:szCs w:val="20"/>
              </w:rPr>
              <w:lastRenderedPageBreak/>
              <w:t>issue ongoing reports regarding HIE security audits and compliance activities in a format and frequency reasonably requested by the Commonwealth.</w:t>
            </w:r>
          </w:p>
        </w:tc>
        <w:tc>
          <w:tcPr>
            <w:tcW w:w="987" w:type="pct"/>
          </w:tcPr>
          <w:p w14:paraId="0E818971" w14:textId="4D2CDB3A" w:rsidR="00EE6E7F" w:rsidRPr="009A39FF" w:rsidRDefault="00EE6E7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840526A" w14:textId="082CF267" w:rsidR="00EE6E7F" w:rsidRPr="009A39FF" w:rsidRDefault="00EE6E7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3E2E8DF3"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73534282" w14:textId="3A5AB60F" w:rsidR="004E78BF" w:rsidRPr="004675B1" w:rsidRDefault="004E78BF" w:rsidP="000903A6">
            <w:pPr>
              <w:spacing w:before="60" w:after="60"/>
              <w:rPr>
                <w:rFonts w:asciiTheme="minorHAnsi" w:eastAsia="MS Mincho" w:hAnsiTheme="minorHAnsi" w:cstheme="minorHAnsi"/>
                <w:b w:val="0"/>
                <w:bCs w:val="0"/>
                <w:sz w:val="20"/>
                <w:szCs w:val="20"/>
              </w:rPr>
            </w:pPr>
            <w:r w:rsidRPr="006E5755">
              <w:rPr>
                <w:rFonts w:asciiTheme="minorHAnsi" w:hAnsiTheme="minorHAnsi" w:cstheme="minorHAnsi"/>
                <w:sz w:val="20"/>
                <w:szCs w:val="20"/>
              </w:rPr>
              <w:t>Security</w:t>
            </w:r>
            <w:r w:rsidR="00736552">
              <w:rPr>
                <w:rFonts w:asciiTheme="minorHAnsi" w:hAnsiTheme="minorHAnsi" w:cstheme="minorHAnsi"/>
                <w:sz w:val="20"/>
                <w:szCs w:val="20"/>
              </w:rPr>
              <w:t xml:space="preserve"> – Security Management</w:t>
            </w:r>
            <w:r w:rsidRPr="00D607A8">
              <w:rPr>
                <w:rFonts w:asciiTheme="minorHAnsi" w:hAnsiTheme="minorHAnsi" w:cstheme="minorHAnsi"/>
                <w:b w:val="0"/>
                <w:bCs w:val="0"/>
                <w:sz w:val="20"/>
                <w:szCs w:val="20"/>
              </w:rPr>
              <w:t>: The vendor must demonstrate that industry-standard security management will be implemented and administered by the vendor.</w:t>
            </w:r>
          </w:p>
        </w:tc>
        <w:tc>
          <w:tcPr>
            <w:tcW w:w="987" w:type="pct"/>
          </w:tcPr>
          <w:p w14:paraId="5C2B62B2" w14:textId="4CE32945" w:rsidR="004E78BF" w:rsidRPr="009A39FF" w:rsidRDefault="004E78B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5BF76D72" w14:textId="5CCFD5D7" w:rsidR="004E78BF" w:rsidRPr="009A39FF" w:rsidRDefault="004E78B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22A91B8F"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1044BC9C" w14:textId="77777777" w:rsidR="009F1B72" w:rsidRPr="004675B1" w:rsidRDefault="009F1B72" w:rsidP="000903A6">
            <w:pPr>
              <w:spacing w:before="60" w:after="60"/>
              <w:rPr>
                <w:rFonts w:asciiTheme="minorHAnsi" w:hAnsiTheme="minorHAnsi" w:cstheme="minorHAnsi"/>
                <w:b w:val="0"/>
                <w:bCs w:val="0"/>
                <w:sz w:val="20"/>
                <w:szCs w:val="20"/>
              </w:rPr>
            </w:pPr>
            <w:r w:rsidRPr="00736552">
              <w:rPr>
                <w:rFonts w:asciiTheme="minorHAnsi" w:hAnsiTheme="minorHAnsi" w:cstheme="minorHAnsi"/>
                <w:sz w:val="20"/>
                <w:szCs w:val="20"/>
              </w:rPr>
              <w:t>Public Health</w:t>
            </w:r>
            <w:r w:rsidRPr="004675B1">
              <w:rPr>
                <w:rFonts w:asciiTheme="minorHAnsi" w:hAnsiTheme="minorHAnsi" w:cstheme="minorHAnsi"/>
                <w:b w:val="0"/>
                <w:bCs w:val="0"/>
                <w:sz w:val="20"/>
                <w:szCs w:val="20"/>
              </w:rPr>
              <w:t>: The vendor must provide local code mapping to improve the level of accurate reporting of disease reporting to improve population health.</w:t>
            </w:r>
          </w:p>
          <w:p w14:paraId="4E9644F0" w14:textId="448C7434" w:rsidR="004E78BF" w:rsidRPr="004675B1" w:rsidRDefault="009F1B72" w:rsidP="00F341DA">
            <w:pPr>
              <w:pStyle w:val="ListParagraph"/>
              <w:numPr>
                <w:ilvl w:val="1"/>
                <w:numId w:val="81"/>
              </w:numPr>
              <w:spacing w:before="60" w:after="60"/>
              <w:contextualSpacing w:val="0"/>
              <w:rPr>
                <w:rFonts w:asciiTheme="minorHAnsi" w:hAnsiTheme="minorHAnsi" w:cstheme="minorHAnsi"/>
                <w:b w:val="0"/>
                <w:bCs w:val="0"/>
              </w:rPr>
            </w:pPr>
            <w:r w:rsidRPr="004675B1">
              <w:rPr>
                <w:rFonts w:asciiTheme="minorHAnsi" w:hAnsiTheme="minorHAnsi" w:cstheme="minorHAnsi"/>
                <w:b w:val="0"/>
                <w:bCs w:val="0"/>
                <w:sz w:val="20"/>
                <w:szCs w:val="20"/>
              </w:rPr>
              <w:t>The vendor confirms that when local institutions use their own codes for reporting diseases, which still need to be mapped to industry standards, the HIE will match the reported codes to national standards, improving the accuracy of reports and supporting data aggregation of public health disease reporting data.</w:t>
            </w:r>
          </w:p>
        </w:tc>
        <w:tc>
          <w:tcPr>
            <w:tcW w:w="987" w:type="pct"/>
          </w:tcPr>
          <w:p w14:paraId="75DF78CF" w14:textId="41B316CE" w:rsidR="004E78BF" w:rsidRPr="009A39FF" w:rsidRDefault="004E78B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3EDBE45" w14:textId="23CA3420" w:rsidR="004E78BF" w:rsidRPr="009A39FF" w:rsidRDefault="004E78B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066477" w:rsidRPr="008362F6" w14:paraId="0A9D31CB"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6621BDAB" w14:textId="0ECE3D1B" w:rsidR="00066477" w:rsidRPr="002A5E59" w:rsidRDefault="00D44F76" w:rsidP="000903A6">
            <w:pPr>
              <w:spacing w:before="60" w:after="60"/>
              <w:rPr>
                <w:rFonts w:asciiTheme="minorHAnsi" w:hAnsiTheme="minorHAnsi" w:cstheme="minorHAnsi"/>
                <w:sz w:val="20"/>
                <w:szCs w:val="20"/>
              </w:rPr>
            </w:pPr>
            <w:r w:rsidRPr="002A5E59">
              <w:rPr>
                <w:rFonts w:asciiTheme="minorHAnsi" w:hAnsiTheme="minorHAnsi" w:cstheme="minorHAnsi"/>
                <w:sz w:val="20"/>
                <w:szCs w:val="20"/>
              </w:rPr>
              <w:t>User Access and Management</w:t>
            </w:r>
            <w:r>
              <w:rPr>
                <w:rFonts w:asciiTheme="minorHAnsi" w:hAnsiTheme="minorHAnsi" w:cstheme="minorHAnsi"/>
                <w:sz w:val="20"/>
                <w:szCs w:val="20"/>
              </w:rPr>
              <w:t xml:space="preserve"> – User Account Management</w:t>
            </w:r>
            <w:r w:rsidRPr="00D607A8">
              <w:rPr>
                <w:rFonts w:asciiTheme="minorHAnsi" w:hAnsiTheme="minorHAnsi" w:cstheme="minorHAnsi"/>
                <w:b w:val="0"/>
                <w:bCs w:val="0"/>
                <w:sz w:val="20"/>
                <w:szCs w:val="20"/>
              </w:rPr>
              <w:t>: The</w:t>
            </w:r>
            <w:r>
              <w:rPr>
                <w:rFonts w:asciiTheme="minorHAnsi" w:hAnsiTheme="minorHAnsi" w:cstheme="minorHAnsi"/>
                <w:b w:val="0"/>
                <w:bCs w:val="0"/>
                <w:sz w:val="20"/>
                <w:szCs w:val="20"/>
              </w:rPr>
              <w:t xml:space="preserve"> vendor confirms that they provide participants with access to IT Administrative access to manage end-user accounts, submit/edit requests for end-user accounts on their behalf, </w:t>
            </w:r>
            <w:r w:rsidR="004E56C0">
              <w:rPr>
                <w:rFonts w:asciiTheme="minorHAnsi" w:hAnsiTheme="minorHAnsi" w:cstheme="minorHAnsi"/>
                <w:b w:val="0"/>
                <w:bCs w:val="0"/>
                <w:sz w:val="20"/>
                <w:szCs w:val="20"/>
              </w:rPr>
              <w:t>to</w:t>
            </w:r>
            <w:r>
              <w:rPr>
                <w:rFonts w:asciiTheme="minorHAnsi" w:hAnsiTheme="minorHAnsi" w:cstheme="minorHAnsi"/>
                <w:b w:val="0"/>
                <w:bCs w:val="0"/>
                <w:sz w:val="20"/>
                <w:szCs w:val="20"/>
              </w:rPr>
              <w:t xml:space="preserve"> alleviate provider burden for account management outside of password requirements. </w:t>
            </w:r>
          </w:p>
        </w:tc>
        <w:tc>
          <w:tcPr>
            <w:tcW w:w="987" w:type="pct"/>
          </w:tcPr>
          <w:p w14:paraId="3776273B" w14:textId="77777777" w:rsidR="00066477" w:rsidRPr="009A39FF" w:rsidRDefault="00066477"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4ACBE1AB" w14:textId="46B979B2" w:rsidR="00066477" w:rsidRPr="009A39FF" w:rsidRDefault="00D44F76"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4F2305CC"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3D145DCF" w14:textId="659E660B" w:rsidR="00130DC4" w:rsidRPr="00D607A8" w:rsidRDefault="00130DC4" w:rsidP="000903A6">
            <w:pPr>
              <w:spacing w:before="60" w:after="60"/>
              <w:rPr>
                <w:rFonts w:asciiTheme="minorHAnsi" w:hAnsiTheme="minorHAnsi" w:cstheme="minorHAnsi"/>
                <w:b w:val="0"/>
                <w:bCs w:val="0"/>
                <w:sz w:val="20"/>
                <w:szCs w:val="20"/>
              </w:rPr>
            </w:pPr>
            <w:r w:rsidRPr="002A5E59">
              <w:rPr>
                <w:rFonts w:asciiTheme="minorHAnsi" w:hAnsiTheme="minorHAnsi" w:cstheme="minorHAnsi"/>
                <w:sz w:val="20"/>
                <w:szCs w:val="20"/>
              </w:rPr>
              <w:t>User Access and Management</w:t>
            </w:r>
            <w:r w:rsidR="0036357F">
              <w:rPr>
                <w:rFonts w:asciiTheme="minorHAnsi" w:hAnsiTheme="minorHAnsi" w:cstheme="minorHAnsi"/>
                <w:sz w:val="20"/>
                <w:szCs w:val="20"/>
              </w:rPr>
              <w:t xml:space="preserve"> </w:t>
            </w:r>
            <w:r w:rsidR="001113FC">
              <w:rPr>
                <w:rFonts w:asciiTheme="minorHAnsi" w:hAnsiTheme="minorHAnsi" w:cstheme="minorHAnsi"/>
                <w:sz w:val="20"/>
                <w:szCs w:val="20"/>
              </w:rPr>
              <w:t>–</w:t>
            </w:r>
            <w:r w:rsidR="0036357F">
              <w:rPr>
                <w:rFonts w:asciiTheme="minorHAnsi" w:hAnsiTheme="minorHAnsi" w:cstheme="minorHAnsi"/>
                <w:sz w:val="20"/>
                <w:szCs w:val="20"/>
              </w:rPr>
              <w:t xml:space="preserve"> </w:t>
            </w:r>
            <w:r w:rsidR="00E31FBD">
              <w:rPr>
                <w:rFonts w:asciiTheme="minorHAnsi" w:hAnsiTheme="minorHAnsi" w:cstheme="minorHAnsi"/>
                <w:sz w:val="20"/>
                <w:szCs w:val="20"/>
              </w:rPr>
              <w:t>End-User Authentication</w:t>
            </w:r>
            <w:r w:rsidRPr="00D607A8">
              <w:rPr>
                <w:rFonts w:asciiTheme="minorHAnsi" w:hAnsiTheme="minorHAnsi" w:cstheme="minorHAnsi"/>
                <w:b w:val="0"/>
                <w:bCs w:val="0"/>
                <w:sz w:val="20"/>
                <w:szCs w:val="20"/>
              </w:rPr>
              <w:t xml:space="preserve">: The vendor confirms </w:t>
            </w:r>
            <w:r w:rsidR="00292388">
              <w:rPr>
                <w:rFonts w:asciiTheme="minorHAnsi" w:hAnsiTheme="minorHAnsi" w:cstheme="minorHAnsi"/>
                <w:b w:val="0"/>
                <w:bCs w:val="0"/>
                <w:sz w:val="20"/>
                <w:szCs w:val="20"/>
              </w:rPr>
              <w:t>they use</w:t>
            </w:r>
            <w:r w:rsidR="00D5083C">
              <w:rPr>
                <w:rFonts w:asciiTheme="minorHAnsi" w:hAnsiTheme="minorHAnsi" w:cstheme="minorHAnsi"/>
                <w:b w:val="0"/>
                <w:bCs w:val="0"/>
                <w:sz w:val="20"/>
                <w:szCs w:val="20"/>
              </w:rPr>
              <w:t xml:space="preserve"> </w:t>
            </w:r>
            <w:r w:rsidR="00C90CC5" w:rsidRPr="00C90CC5">
              <w:rPr>
                <w:rFonts w:asciiTheme="minorHAnsi" w:hAnsiTheme="minorHAnsi" w:cstheme="minorHAnsi"/>
                <w:b w:val="0"/>
                <w:bCs w:val="0"/>
                <w:sz w:val="20"/>
                <w:szCs w:val="20"/>
              </w:rPr>
              <w:t>Security Assertion Markup Language</w:t>
            </w:r>
            <w:r w:rsidR="00C90CC5">
              <w:rPr>
                <w:rFonts w:asciiTheme="minorHAnsi" w:hAnsiTheme="minorHAnsi" w:cstheme="minorHAnsi"/>
                <w:b w:val="0"/>
                <w:bCs w:val="0"/>
                <w:sz w:val="20"/>
                <w:szCs w:val="20"/>
              </w:rPr>
              <w:t xml:space="preserve"> (</w:t>
            </w:r>
            <w:r w:rsidR="001A4D3A">
              <w:rPr>
                <w:rFonts w:asciiTheme="minorHAnsi" w:hAnsiTheme="minorHAnsi" w:cstheme="minorHAnsi"/>
                <w:b w:val="0"/>
                <w:bCs w:val="0"/>
                <w:sz w:val="20"/>
                <w:szCs w:val="20"/>
              </w:rPr>
              <w:t>SAML</w:t>
            </w:r>
            <w:r w:rsidR="00C90CC5">
              <w:rPr>
                <w:rFonts w:asciiTheme="minorHAnsi" w:hAnsiTheme="minorHAnsi" w:cstheme="minorHAnsi"/>
                <w:b w:val="0"/>
                <w:bCs w:val="0"/>
                <w:sz w:val="20"/>
                <w:szCs w:val="20"/>
              </w:rPr>
              <w:t>)</w:t>
            </w:r>
            <w:r w:rsidR="005101B8">
              <w:rPr>
                <w:rFonts w:asciiTheme="minorHAnsi" w:hAnsiTheme="minorHAnsi" w:cstheme="minorHAnsi"/>
                <w:b w:val="0"/>
                <w:bCs w:val="0"/>
                <w:sz w:val="20"/>
                <w:szCs w:val="20"/>
              </w:rPr>
              <w:t xml:space="preserve"> </w:t>
            </w:r>
            <w:r w:rsidR="008323C8">
              <w:rPr>
                <w:rFonts w:asciiTheme="minorHAnsi" w:hAnsiTheme="minorHAnsi" w:cstheme="minorHAnsi"/>
                <w:b w:val="0"/>
                <w:bCs w:val="0"/>
                <w:sz w:val="20"/>
                <w:szCs w:val="20"/>
              </w:rPr>
              <w:t xml:space="preserve">Single-Sign-On (SSO) </w:t>
            </w:r>
            <w:r w:rsidR="005101B8">
              <w:rPr>
                <w:rFonts w:asciiTheme="minorHAnsi" w:hAnsiTheme="minorHAnsi" w:cstheme="minorHAnsi"/>
                <w:b w:val="0"/>
                <w:bCs w:val="0"/>
                <w:sz w:val="20"/>
                <w:szCs w:val="20"/>
              </w:rPr>
              <w:t xml:space="preserve">authentication </w:t>
            </w:r>
            <w:r w:rsidRPr="00D607A8">
              <w:rPr>
                <w:rFonts w:asciiTheme="minorHAnsi" w:hAnsiTheme="minorHAnsi" w:cstheme="minorHAnsi"/>
                <w:b w:val="0"/>
                <w:bCs w:val="0"/>
                <w:sz w:val="20"/>
                <w:szCs w:val="20"/>
              </w:rPr>
              <w:t>whereby EHR users can access HIE</w:t>
            </w:r>
            <w:r w:rsidR="006B5839">
              <w:rPr>
                <w:rFonts w:asciiTheme="minorHAnsi" w:hAnsiTheme="minorHAnsi" w:cstheme="minorHAnsi"/>
                <w:b w:val="0"/>
                <w:bCs w:val="0"/>
                <w:sz w:val="20"/>
                <w:szCs w:val="20"/>
              </w:rPr>
              <w:t xml:space="preserve"> services</w:t>
            </w:r>
            <w:r w:rsidRPr="00D607A8">
              <w:rPr>
                <w:rFonts w:asciiTheme="minorHAnsi" w:hAnsiTheme="minorHAnsi" w:cstheme="minorHAnsi"/>
                <w:b w:val="0"/>
                <w:bCs w:val="0"/>
                <w:sz w:val="20"/>
                <w:szCs w:val="20"/>
              </w:rPr>
              <w:t xml:space="preserve"> </w:t>
            </w:r>
            <w:r w:rsidR="00AD11AF">
              <w:rPr>
                <w:rFonts w:asciiTheme="minorHAnsi" w:hAnsiTheme="minorHAnsi" w:cstheme="minorHAnsi"/>
                <w:b w:val="0"/>
                <w:bCs w:val="0"/>
                <w:sz w:val="20"/>
                <w:szCs w:val="20"/>
              </w:rPr>
              <w:t>efficiently and securely</w:t>
            </w:r>
            <w:r w:rsidR="004C0741">
              <w:rPr>
                <w:rFonts w:asciiTheme="minorHAnsi" w:hAnsiTheme="minorHAnsi" w:cstheme="minorHAnsi"/>
                <w:b w:val="0"/>
                <w:bCs w:val="0"/>
                <w:sz w:val="20"/>
                <w:szCs w:val="20"/>
              </w:rPr>
              <w:t xml:space="preserve"> from within their workflow</w:t>
            </w:r>
            <w:r w:rsidR="004F5567">
              <w:rPr>
                <w:rFonts w:asciiTheme="minorHAnsi" w:hAnsiTheme="minorHAnsi" w:cstheme="minorHAnsi"/>
                <w:b w:val="0"/>
                <w:bCs w:val="0"/>
                <w:sz w:val="20"/>
                <w:szCs w:val="20"/>
              </w:rPr>
              <w:t xml:space="preserve"> environment</w:t>
            </w:r>
            <w:r w:rsidRPr="00D607A8">
              <w:rPr>
                <w:rFonts w:asciiTheme="minorHAnsi" w:hAnsiTheme="minorHAnsi" w:cstheme="minorHAnsi"/>
                <w:b w:val="0"/>
                <w:bCs w:val="0"/>
                <w:sz w:val="20"/>
                <w:szCs w:val="20"/>
              </w:rPr>
              <w:t>.</w:t>
            </w:r>
          </w:p>
          <w:p w14:paraId="515FB53A" w14:textId="0E68D696" w:rsidR="00130DC4" w:rsidRPr="004675B1" w:rsidRDefault="00130DC4" w:rsidP="00F341DA">
            <w:pPr>
              <w:pStyle w:val="ListParagraph"/>
              <w:numPr>
                <w:ilvl w:val="1"/>
                <w:numId w:val="78"/>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lastRenderedPageBreak/>
              <w:t>The vendor confirms support for federated identity management</w:t>
            </w:r>
            <w:r w:rsidR="00C54110">
              <w:rPr>
                <w:rFonts w:asciiTheme="minorHAnsi" w:hAnsiTheme="minorHAnsi" w:cstheme="minorHAnsi"/>
                <w:b w:val="0"/>
                <w:bCs w:val="0"/>
                <w:sz w:val="20"/>
                <w:szCs w:val="20"/>
              </w:rPr>
              <w:t>.</w:t>
            </w:r>
            <w:r w:rsidRPr="004675B1">
              <w:rPr>
                <w:rFonts w:asciiTheme="minorHAnsi" w:hAnsiTheme="minorHAnsi" w:cstheme="minorHAnsi"/>
                <w:b w:val="0"/>
                <w:bCs w:val="0"/>
                <w:sz w:val="20"/>
                <w:szCs w:val="20"/>
              </w:rPr>
              <w:t xml:space="preserve"> </w:t>
            </w:r>
          </w:p>
          <w:p w14:paraId="72FE6832" w14:textId="791ABAB7" w:rsidR="004E78BF" w:rsidRPr="004675B1" w:rsidRDefault="00130DC4" w:rsidP="00F341DA">
            <w:pPr>
              <w:pStyle w:val="ListParagraph"/>
              <w:numPr>
                <w:ilvl w:val="1"/>
                <w:numId w:val="78"/>
              </w:numPr>
              <w:spacing w:before="60" w:after="60"/>
              <w:contextualSpacing w:val="0"/>
              <w:rPr>
                <w:rFonts w:asciiTheme="minorHAnsi" w:eastAsia="MS Mincho" w:hAnsiTheme="minorHAnsi" w:cstheme="minorHAnsi"/>
                <w:b w:val="0"/>
                <w:bCs w:val="0"/>
                <w:sz w:val="20"/>
                <w:szCs w:val="20"/>
              </w:rPr>
            </w:pPr>
            <w:r w:rsidRPr="004675B1">
              <w:rPr>
                <w:rFonts w:asciiTheme="minorHAnsi" w:hAnsiTheme="minorHAnsi" w:cstheme="minorHAnsi"/>
                <w:b w:val="0"/>
                <w:bCs w:val="0"/>
                <w:sz w:val="20"/>
                <w:szCs w:val="20"/>
              </w:rPr>
              <w:t>The vendor confirms that integration with a variety of EHR system types is in place.</w:t>
            </w:r>
          </w:p>
        </w:tc>
        <w:tc>
          <w:tcPr>
            <w:tcW w:w="987" w:type="pct"/>
          </w:tcPr>
          <w:p w14:paraId="24F03A4E" w14:textId="0E7EB568" w:rsidR="004E78BF" w:rsidRPr="009A39FF" w:rsidRDefault="004E78B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38708174" w14:textId="5BF19C98" w:rsidR="004E78BF" w:rsidRPr="009A39FF" w:rsidRDefault="004E78B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271F76BF"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75C98FE1" w14:textId="4B6CA50F" w:rsidR="00130DC4" w:rsidRPr="00D607A8" w:rsidRDefault="00130DC4"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User Access and Management</w:t>
            </w:r>
            <w:r w:rsidR="0036357F">
              <w:rPr>
                <w:rFonts w:asciiTheme="minorHAnsi" w:hAnsiTheme="minorHAnsi" w:cstheme="minorHAnsi"/>
                <w:sz w:val="20"/>
                <w:szCs w:val="20"/>
              </w:rPr>
              <w:t xml:space="preserve"> – Provider Directory</w:t>
            </w:r>
            <w:r w:rsidRPr="00D607A8">
              <w:rPr>
                <w:rFonts w:asciiTheme="minorHAnsi" w:hAnsiTheme="minorHAnsi" w:cstheme="minorHAnsi"/>
                <w:b w:val="0"/>
                <w:bCs w:val="0"/>
                <w:sz w:val="20"/>
                <w:szCs w:val="20"/>
              </w:rPr>
              <w:t xml:space="preserve">: The vendor must support for </w:t>
            </w:r>
            <w:r w:rsidR="004F44DD">
              <w:rPr>
                <w:rFonts w:asciiTheme="minorHAnsi" w:hAnsiTheme="minorHAnsi" w:cstheme="minorHAnsi"/>
                <w:b w:val="0"/>
                <w:bCs w:val="0"/>
                <w:sz w:val="20"/>
                <w:szCs w:val="20"/>
              </w:rPr>
              <w:t>p</w:t>
            </w:r>
            <w:r w:rsidRPr="00D607A8">
              <w:rPr>
                <w:rFonts w:asciiTheme="minorHAnsi" w:hAnsiTheme="minorHAnsi" w:cstheme="minorHAnsi"/>
                <w:b w:val="0"/>
                <w:bCs w:val="0"/>
                <w:sz w:val="20"/>
                <w:szCs w:val="20"/>
              </w:rPr>
              <w:t xml:space="preserve">rovider </w:t>
            </w:r>
            <w:r w:rsidR="004F44DD">
              <w:rPr>
                <w:rFonts w:asciiTheme="minorHAnsi" w:hAnsiTheme="minorHAnsi" w:cstheme="minorHAnsi"/>
                <w:b w:val="0"/>
                <w:bCs w:val="0"/>
                <w:sz w:val="20"/>
                <w:szCs w:val="20"/>
              </w:rPr>
              <w:t>d</w:t>
            </w:r>
            <w:r w:rsidRPr="00D607A8">
              <w:rPr>
                <w:rFonts w:asciiTheme="minorHAnsi" w:hAnsiTheme="minorHAnsi" w:cstheme="minorHAnsi"/>
                <w:b w:val="0"/>
                <w:bCs w:val="0"/>
                <w:sz w:val="20"/>
                <w:szCs w:val="20"/>
              </w:rPr>
              <w:t xml:space="preserve">irectory </w:t>
            </w:r>
            <w:r w:rsidR="004F44DD">
              <w:rPr>
                <w:rFonts w:asciiTheme="minorHAnsi" w:hAnsiTheme="minorHAnsi" w:cstheme="minorHAnsi"/>
                <w:b w:val="0"/>
                <w:bCs w:val="0"/>
                <w:sz w:val="20"/>
                <w:szCs w:val="20"/>
              </w:rPr>
              <w:t>s</w:t>
            </w:r>
            <w:r w:rsidRPr="00D607A8">
              <w:rPr>
                <w:rFonts w:asciiTheme="minorHAnsi" w:hAnsiTheme="minorHAnsi" w:cstheme="minorHAnsi"/>
                <w:b w:val="0"/>
                <w:bCs w:val="0"/>
                <w:sz w:val="20"/>
                <w:szCs w:val="20"/>
              </w:rPr>
              <w:t>ervices for individuals and facilities:</w:t>
            </w:r>
          </w:p>
          <w:p w14:paraId="50A1A372" w14:textId="1E9BED68" w:rsidR="00130DC4" w:rsidRPr="004675B1" w:rsidRDefault="00130DC4" w:rsidP="00F341DA">
            <w:pPr>
              <w:pStyle w:val="ListParagraph"/>
              <w:numPr>
                <w:ilvl w:val="1"/>
                <w:numId w:val="79"/>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 xml:space="preserve">The vendor confirms </w:t>
            </w:r>
            <w:r w:rsidR="00927EF1">
              <w:rPr>
                <w:rFonts w:asciiTheme="minorHAnsi" w:hAnsiTheme="minorHAnsi" w:cstheme="minorHAnsi"/>
                <w:b w:val="0"/>
                <w:bCs w:val="0"/>
                <w:sz w:val="20"/>
                <w:szCs w:val="20"/>
              </w:rPr>
              <w:t>p</w:t>
            </w:r>
            <w:r w:rsidRPr="004675B1">
              <w:rPr>
                <w:rFonts w:asciiTheme="minorHAnsi" w:hAnsiTheme="minorHAnsi" w:cstheme="minorHAnsi"/>
                <w:b w:val="0"/>
                <w:bCs w:val="0"/>
                <w:sz w:val="20"/>
                <w:szCs w:val="20"/>
              </w:rPr>
              <w:t>rovider Directory support for Direct Secure Messaging</w:t>
            </w:r>
            <w:r w:rsidR="00C54110">
              <w:rPr>
                <w:rFonts w:asciiTheme="minorHAnsi" w:hAnsiTheme="minorHAnsi" w:cstheme="minorHAnsi"/>
                <w:b w:val="0"/>
                <w:bCs w:val="0"/>
                <w:sz w:val="20"/>
                <w:szCs w:val="20"/>
              </w:rPr>
              <w:t>.</w:t>
            </w:r>
          </w:p>
          <w:p w14:paraId="3310872C" w14:textId="059425DB" w:rsidR="004E78BF" w:rsidRPr="004675B1" w:rsidRDefault="00130DC4" w:rsidP="00F341DA">
            <w:pPr>
              <w:pStyle w:val="ListParagraph"/>
              <w:numPr>
                <w:ilvl w:val="1"/>
                <w:numId w:val="79"/>
              </w:numPr>
              <w:spacing w:before="60" w:after="60"/>
              <w:contextualSpacing w:val="0"/>
              <w:rPr>
                <w:rFonts w:asciiTheme="minorHAnsi" w:eastAsia="MS Mincho" w:hAnsiTheme="minorHAnsi" w:cstheme="minorHAnsi"/>
                <w:b w:val="0"/>
                <w:bCs w:val="0"/>
                <w:sz w:val="20"/>
                <w:szCs w:val="20"/>
              </w:rPr>
            </w:pPr>
            <w:r w:rsidRPr="004675B1">
              <w:rPr>
                <w:rFonts w:asciiTheme="minorHAnsi" w:hAnsiTheme="minorHAnsi" w:cstheme="minorHAnsi"/>
                <w:b w:val="0"/>
                <w:bCs w:val="0"/>
                <w:sz w:val="20"/>
                <w:szCs w:val="20"/>
              </w:rPr>
              <w:t>The vendor confirms that Provider Directory Services associate providers with facilities and health systems.</w:t>
            </w:r>
          </w:p>
        </w:tc>
        <w:tc>
          <w:tcPr>
            <w:tcW w:w="987" w:type="pct"/>
          </w:tcPr>
          <w:p w14:paraId="1C1E7808" w14:textId="2E01FEB8" w:rsidR="004E78BF" w:rsidRPr="009A39FF" w:rsidRDefault="004E78B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ABEDC8B" w14:textId="2ACE9B58" w:rsidR="004E78BF" w:rsidRPr="009A39FF" w:rsidRDefault="004E78B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00F58011"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53CCE8E9" w14:textId="1584E523" w:rsidR="00130DC4" w:rsidRPr="00D607A8" w:rsidRDefault="00130DC4"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User Access and Management</w:t>
            </w:r>
            <w:r w:rsidRPr="00D607A8">
              <w:rPr>
                <w:rFonts w:asciiTheme="minorHAnsi" w:hAnsiTheme="minorHAnsi" w:cstheme="minorHAnsi"/>
                <w:b w:val="0"/>
                <w:bCs w:val="0"/>
                <w:sz w:val="20"/>
                <w:szCs w:val="20"/>
              </w:rPr>
              <w:t>: The vendor must support identity and access management services</w:t>
            </w:r>
            <w:r w:rsidR="007403BC">
              <w:rPr>
                <w:rFonts w:asciiTheme="minorHAnsi" w:hAnsiTheme="minorHAnsi" w:cstheme="minorHAnsi"/>
                <w:b w:val="0"/>
                <w:bCs w:val="0"/>
                <w:sz w:val="20"/>
                <w:szCs w:val="20"/>
              </w:rPr>
              <w:t>.</w:t>
            </w:r>
          </w:p>
          <w:p w14:paraId="77100C55" w14:textId="4FBCD075" w:rsidR="00130DC4" w:rsidRPr="004675B1" w:rsidRDefault="00130DC4" w:rsidP="00F341DA">
            <w:pPr>
              <w:pStyle w:val="ListParagraph"/>
              <w:numPr>
                <w:ilvl w:val="1"/>
                <w:numId w:val="80"/>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The vendor confirms that identity and access services include user profiles and contact information</w:t>
            </w:r>
            <w:r w:rsidR="00C54110">
              <w:rPr>
                <w:rFonts w:asciiTheme="minorHAnsi" w:hAnsiTheme="minorHAnsi" w:cstheme="minorHAnsi"/>
                <w:b w:val="0"/>
                <w:bCs w:val="0"/>
                <w:sz w:val="20"/>
                <w:szCs w:val="20"/>
              </w:rPr>
              <w:t>.</w:t>
            </w:r>
          </w:p>
          <w:p w14:paraId="4C1778AE" w14:textId="260930A3" w:rsidR="004E78BF" w:rsidRPr="00D607A8" w:rsidRDefault="00130DC4" w:rsidP="00F341DA">
            <w:pPr>
              <w:pStyle w:val="ListParagraph"/>
              <w:numPr>
                <w:ilvl w:val="1"/>
                <w:numId w:val="80"/>
              </w:numPr>
              <w:spacing w:before="60" w:after="60"/>
              <w:contextualSpacing w:val="0"/>
              <w:rPr>
                <w:rFonts w:asciiTheme="minorHAnsi" w:hAnsiTheme="minorHAnsi" w:cstheme="minorHAnsi"/>
                <w:b w:val="0"/>
                <w:bCs w:val="0"/>
                <w:sz w:val="20"/>
                <w:szCs w:val="20"/>
              </w:rPr>
            </w:pPr>
            <w:r w:rsidRPr="004675B1">
              <w:rPr>
                <w:rFonts w:asciiTheme="minorHAnsi" w:hAnsiTheme="minorHAnsi" w:cstheme="minorHAnsi"/>
                <w:b w:val="0"/>
                <w:bCs w:val="0"/>
                <w:sz w:val="20"/>
                <w:szCs w:val="20"/>
              </w:rPr>
              <w:t>The vendor confirms that identity and access services manage patient-provider attribution.</w:t>
            </w:r>
          </w:p>
        </w:tc>
        <w:tc>
          <w:tcPr>
            <w:tcW w:w="987" w:type="pct"/>
          </w:tcPr>
          <w:p w14:paraId="3B7D7A69" w14:textId="1D95AB91" w:rsidR="004E78BF" w:rsidRPr="009A39FF" w:rsidRDefault="004E78BF"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140E09C" w14:textId="2D6E0C0C" w:rsidR="004E78BF" w:rsidRPr="009A39FF" w:rsidRDefault="004E78BF" w:rsidP="000903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9D7ED1" w:rsidRPr="008362F6" w14:paraId="324C93E9" w14:textId="77777777" w:rsidTr="00B7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Pr>
          <w:p w14:paraId="60FF4A83" w14:textId="7256BB8A" w:rsidR="004E78BF" w:rsidRPr="004675B1" w:rsidRDefault="00130DC4" w:rsidP="000903A6">
            <w:pPr>
              <w:spacing w:before="60" w:after="60"/>
              <w:rPr>
                <w:rFonts w:asciiTheme="minorHAnsi" w:hAnsiTheme="minorHAnsi" w:cstheme="minorHAnsi"/>
                <w:b w:val="0"/>
                <w:bCs w:val="0"/>
                <w:sz w:val="20"/>
                <w:szCs w:val="20"/>
              </w:rPr>
            </w:pPr>
            <w:r w:rsidRPr="00836F86">
              <w:rPr>
                <w:rFonts w:asciiTheme="minorHAnsi" w:hAnsiTheme="minorHAnsi" w:cstheme="minorHAnsi"/>
                <w:sz w:val="20"/>
                <w:szCs w:val="20"/>
              </w:rPr>
              <w:t>User Access and Management</w:t>
            </w:r>
            <w:r w:rsidR="00D5055A">
              <w:rPr>
                <w:rFonts w:asciiTheme="minorHAnsi" w:hAnsiTheme="minorHAnsi" w:cstheme="minorHAnsi"/>
                <w:sz w:val="20"/>
                <w:szCs w:val="20"/>
              </w:rPr>
              <w:t xml:space="preserve"> – PRDoH Access</w:t>
            </w:r>
            <w:r w:rsidRPr="00D607A8">
              <w:rPr>
                <w:rFonts w:asciiTheme="minorHAnsi" w:hAnsiTheme="minorHAnsi" w:cstheme="minorHAnsi"/>
                <w:b w:val="0"/>
                <w:bCs w:val="0"/>
                <w:sz w:val="20"/>
                <w:szCs w:val="20"/>
              </w:rPr>
              <w:t xml:space="preserve">: The vendor must confirm that </w:t>
            </w:r>
            <w:r w:rsidR="00070AD1" w:rsidRPr="00D607A8">
              <w:rPr>
                <w:rFonts w:asciiTheme="minorHAnsi" w:hAnsiTheme="minorHAnsi" w:cstheme="minorHAnsi"/>
                <w:b w:val="0"/>
                <w:bCs w:val="0"/>
                <w:sz w:val="20"/>
                <w:szCs w:val="20"/>
              </w:rPr>
              <w:t>PRD</w:t>
            </w:r>
            <w:r w:rsidR="00070AD1">
              <w:rPr>
                <w:rFonts w:asciiTheme="minorHAnsi" w:hAnsiTheme="minorHAnsi" w:cstheme="minorHAnsi"/>
                <w:b w:val="0"/>
                <w:bCs w:val="0"/>
                <w:sz w:val="20"/>
                <w:szCs w:val="20"/>
              </w:rPr>
              <w:t>o</w:t>
            </w:r>
            <w:r w:rsidR="00070AD1" w:rsidRPr="00D607A8">
              <w:rPr>
                <w:rFonts w:asciiTheme="minorHAnsi" w:hAnsiTheme="minorHAnsi" w:cstheme="minorHAnsi"/>
                <w:b w:val="0"/>
                <w:bCs w:val="0"/>
                <w:sz w:val="20"/>
                <w:szCs w:val="20"/>
              </w:rPr>
              <w:t xml:space="preserve">H </w:t>
            </w:r>
            <w:r w:rsidRPr="00D607A8">
              <w:rPr>
                <w:rFonts w:asciiTheme="minorHAnsi" w:hAnsiTheme="minorHAnsi" w:cstheme="minorHAnsi"/>
                <w:b w:val="0"/>
                <w:bCs w:val="0"/>
                <w:sz w:val="20"/>
                <w:szCs w:val="20"/>
              </w:rPr>
              <w:t>personnel will have access to the HIE through the Provider Portal.</w:t>
            </w:r>
          </w:p>
        </w:tc>
        <w:tc>
          <w:tcPr>
            <w:tcW w:w="987" w:type="pct"/>
          </w:tcPr>
          <w:p w14:paraId="3CDA7CE6" w14:textId="11E3A189" w:rsidR="004E78BF" w:rsidRPr="009A39FF" w:rsidRDefault="004E78BF" w:rsidP="000903A6">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AD9D852" w14:textId="2940C8DD" w:rsidR="004E78BF" w:rsidRPr="009A39FF" w:rsidRDefault="004E78BF" w:rsidP="000903A6">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BB10BC" w:rsidRPr="008362F6" w14:paraId="577E5260" w14:textId="77777777" w:rsidTr="00B753C5">
        <w:tc>
          <w:tcPr>
            <w:cnfStyle w:val="001000000000" w:firstRow="0" w:lastRow="0" w:firstColumn="1" w:lastColumn="0" w:oddVBand="0" w:evenVBand="0" w:oddHBand="0" w:evenHBand="0" w:firstRowFirstColumn="0" w:firstRowLastColumn="0" w:lastRowFirstColumn="0" w:lastRowLastColumn="0"/>
            <w:tcW w:w="2089" w:type="pct"/>
          </w:tcPr>
          <w:p w14:paraId="1B962FA8" w14:textId="2D27254B" w:rsidR="00BB10BC" w:rsidRPr="00BB10BC" w:rsidRDefault="00455BF7" w:rsidP="000903A6">
            <w:pPr>
              <w:spacing w:before="60" w:after="60"/>
              <w:rPr>
                <w:rFonts w:asciiTheme="minorHAnsi" w:hAnsiTheme="minorHAnsi" w:cstheme="minorHAnsi"/>
                <w:b w:val="0"/>
                <w:bCs w:val="0"/>
                <w:sz w:val="20"/>
                <w:szCs w:val="20"/>
              </w:rPr>
            </w:pPr>
            <w:r w:rsidRPr="19257FDC">
              <w:rPr>
                <w:sz w:val="20"/>
                <w:szCs w:val="20"/>
              </w:rPr>
              <w:t xml:space="preserve">The MPI technology </w:t>
            </w:r>
            <w:r w:rsidRPr="009B4A2D">
              <w:rPr>
                <w:b w:val="0"/>
                <w:bCs w:val="0"/>
                <w:sz w:val="20"/>
                <w:szCs w:val="20"/>
              </w:rPr>
              <w:t>solution must be an independent module of the HIE technology architecture. PRMP expects that the PRHIE employs a best-in-class MPI that is accessible to the overall solution and supports Patient Demographic Query, Patient Identifier Cross-Reference, and Cross Community Patient Discovery</w:t>
            </w:r>
            <w:r w:rsidR="006C6BA9">
              <w:rPr>
                <w:sz w:val="20"/>
                <w:szCs w:val="20"/>
              </w:rPr>
              <w:t>.</w:t>
            </w:r>
          </w:p>
        </w:tc>
        <w:tc>
          <w:tcPr>
            <w:tcW w:w="987" w:type="pct"/>
          </w:tcPr>
          <w:p w14:paraId="6BAF130D" w14:textId="64B8BFA9" w:rsidR="00BB10BC" w:rsidRPr="009A39FF" w:rsidRDefault="00BB10BC" w:rsidP="000903A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924" w:type="pct"/>
          </w:tcPr>
          <w:p w14:paraId="1DC2DBFE" w14:textId="7CF03D27" w:rsidR="00BB10BC" w:rsidRPr="009A39FF" w:rsidRDefault="00BB10BC" w:rsidP="006E575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bl>
    <w:p w14:paraId="2CA1A899" w14:textId="1B0CCCD0" w:rsidR="004E35F0" w:rsidRPr="00836F86" w:rsidRDefault="004E35F0" w:rsidP="008341E2">
      <w:pPr>
        <w:pStyle w:val="Heading3"/>
        <w:spacing w:before="160" w:after="160" w:line="276" w:lineRule="auto"/>
        <w:rPr>
          <w:rFonts w:asciiTheme="minorHAnsi" w:hAnsiTheme="minorHAnsi" w:cstheme="minorBidi"/>
          <w:b/>
          <w:sz w:val="26"/>
          <w:szCs w:val="26"/>
        </w:rPr>
      </w:pPr>
      <w:bookmarkStart w:id="12" w:name="_Toc90522577"/>
      <w:bookmarkStart w:id="13" w:name="_Mandatory_Qualifications"/>
      <w:bookmarkStart w:id="14" w:name="_Toc1354258060"/>
      <w:bookmarkStart w:id="15" w:name="_Toc150273290"/>
      <w:bookmarkStart w:id="16" w:name="_Toc151389135"/>
      <w:r w:rsidRPr="2A0378D1">
        <w:rPr>
          <w:rFonts w:asciiTheme="minorHAnsi" w:hAnsiTheme="minorHAnsi" w:cstheme="minorBidi"/>
          <w:b/>
          <w:sz w:val="26"/>
          <w:szCs w:val="26"/>
        </w:rPr>
        <w:lastRenderedPageBreak/>
        <w:t>Mandatory Qualifications</w:t>
      </w:r>
      <w:bookmarkEnd w:id="12"/>
      <w:bookmarkEnd w:id="13"/>
      <w:bookmarkEnd w:id="14"/>
      <w:bookmarkEnd w:id="15"/>
      <w:bookmarkEnd w:id="16"/>
    </w:p>
    <w:p w14:paraId="7A6350FF" w14:textId="1C403E1C" w:rsidR="00692011" w:rsidRDefault="00692011"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The vendor must complete this section to demonstrate that it has the experience needed to meet the requirements in this RFP. </w:t>
      </w:r>
      <w:r w:rsidR="005C1962">
        <w:rPr>
          <w:rFonts w:asciiTheme="minorHAnsi" w:eastAsia="MS Mincho" w:hAnsiTheme="minorHAnsi" w:cstheme="minorHAnsi"/>
        </w:rPr>
        <w:t>Table 17</w:t>
      </w:r>
      <w:r w:rsidRPr="009A39FF">
        <w:rPr>
          <w:rFonts w:asciiTheme="minorHAnsi" w:eastAsia="MS Mincho" w:hAnsiTheme="minorHAnsi" w:cstheme="minorHAnsi"/>
        </w:rPr>
        <w:t xml:space="preserve"> below lists each mandatory qualification. The vendor must note whether it meets the qualification and provide narrative demonstrating fulfillment of the requirement.</w:t>
      </w:r>
      <w:r w:rsidR="00456BCF">
        <w:rPr>
          <w:rFonts w:asciiTheme="minorHAnsi" w:eastAsia="MS Mincho" w:hAnsiTheme="minorHAnsi" w:cstheme="minorHAnsi"/>
        </w:rPr>
        <w:t xml:space="preserve"> If multiple vendors are </w:t>
      </w:r>
      <w:r w:rsidR="002257A9">
        <w:rPr>
          <w:rFonts w:asciiTheme="minorHAnsi" w:eastAsia="MS Mincho" w:hAnsiTheme="minorHAnsi" w:cstheme="minorHAnsi"/>
        </w:rPr>
        <w:t xml:space="preserve">submitting a joint </w:t>
      </w:r>
      <w:r w:rsidR="00F555D8">
        <w:rPr>
          <w:rFonts w:asciiTheme="minorHAnsi" w:eastAsia="MS Mincho" w:hAnsiTheme="minorHAnsi" w:cstheme="minorHAnsi"/>
        </w:rPr>
        <w:t>proposal as a response to the RFP</w:t>
      </w:r>
      <w:r w:rsidR="00233931">
        <w:rPr>
          <w:rFonts w:asciiTheme="minorHAnsi" w:eastAsia="MS Mincho" w:hAnsiTheme="minorHAnsi" w:cstheme="minorHAnsi"/>
        </w:rPr>
        <w:t>,</w:t>
      </w:r>
      <w:r w:rsidR="00F555D8">
        <w:rPr>
          <w:rFonts w:asciiTheme="minorHAnsi" w:eastAsia="MS Mincho" w:hAnsiTheme="minorHAnsi" w:cstheme="minorHAnsi"/>
        </w:rPr>
        <w:t xml:space="preserve"> </w:t>
      </w:r>
      <w:r w:rsidR="00C75157">
        <w:rPr>
          <w:rFonts w:asciiTheme="minorHAnsi" w:eastAsia="MS Mincho" w:hAnsiTheme="minorHAnsi" w:cstheme="minorHAnsi"/>
        </w:rPr>
        <w:t xml:space="preserve">the primary respondent should </w:t>
      </w:r>
      <w:r w:rsidR="00F555D8">
        <w:rPr>
          <w:rFonts w:asciiTheme="minorHAnsi" w:eastAsia="MS Mincho" w:hAnsiTheme="minorHAnsi" w:cstheme="minorHAnsi"/>
        </w:rPr>
        <w:t>replicate the table and complete it for each vendor</w:t>
      </w:r>
      <w:r w:rsidR="00EC4C8C">
        <w:rPr>
          <w:rFonts w:asciiTheme="minorHAnsi" w:eastAsia="MS Mincho" w:hAnsiTheme="minorHAnsi" w:cstheme="minorHAnsi"/>
        </w:rPr>
        <w:t xml:space="preserve"> participating in the joint response.</w:t>
      </w:r>
    </w:p>
    <w:p w14:paraId="2CA17CE8" w14:textId="39D62343" w:rsidR="00767610" w:rsidRPr="00836F86" w:rsidRDefault="00767610" w:rsidP="00836F86">
      <w:pPr>
        <w:pStyle w:val="Caption"/>
        <w:keepNext/>
        <w:jc w:val="center"/>
        <w:rPr>
          <w:b/>
          <w:bCs/>
          <w:i w:val="0"/>
          <w:iCs w:val="0"/>
          <w:color w:val="auto"/>
          <w:sz w:val="20"/>
          <w:szCs w:val="20"/>
        </w:rPr>
      </w:pPr>
      <w:r w:rsidRPr="00836F86">
        <w:rPr>
          <w:b/>
          <w:bCs/>
          <w:i w:val="0"/>
          <w:iCs w:val="0"/>
          <w:color w:val="auto"/>
          <w:sz w:val="20"/>
          <w:szCs w:val="20"/>
        </w:rPr>
        <w:t>Table</w:t>
      </w:r>
      <w:r w:rsidR="00BC3585" w:rsidRPr="005A79C1">
        <w:rPr>
          <w:b/>
          <w:bCs/>
          <w:i w:val="0"/>
          <w:iCs w:val="0"/>
          <w:noProof/>
          <w:color w:val="auto"/>
          <w:sz w:val="20"/>
          <w:szCs w:val="20"/>
        </w:rPr>
        <w:t xml:space="preserve"> </w:t>
      </w:r>
      <w:r w:rsidR="00380936">
        <w:rPr>
          <w:b/>
          <w:bCs/>
          <w:i w:val="0"/>
          <w:iCs w:val="0"/>
          <w:noProof/>
          <w:color w:val="auto"/>
          <w:sz w:val="20"/>
          <w:szCs w:val="20"/>
        </w:rPr>
        <w:t>17</w:t>
      </w:r>
      <w:r w:rsidR="00BC3585" w:rsidRPr="005A79C1">
        <w:rPr>
          <w:b/>
          <w:bCs/>
          <w:i w:val="0"/>
          <w:iCs w:val="0"/>
          <w:noProof/>
          <w:color w:val="auto"/>
          <w:sz w:val="20"/>
          <w:szCs w:val="20"/>
        </w:rPr>
        <w:t>:</w:t>
      </w:r>
      <w:r w:rsidRPr="00836F86">
        <w:rPr>
          <w:b/>
          <w:bCs/>
          <w:i w:val="0"/>
          <w:iCs w:val="0"/>
          <w:color w:val="auto"/>
          <w:sz w:val="20"/>
          <w:szCs w:val="20"/>
        </w:rPr>
        <w:t xml:space="preserve"> Mandatory Qualifications</w:t>
      </w:r>
    </w:p>
    <w:tbl>
      <w:tblPr>
        <w:tblStyle w:val="ListTable3-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689"/>
        <w:gridCol w:w="3235"/>
      </w:tblGrid>
      <w:tr w:rsidR="00767610" w:rsidRPr="00B25892" w14:paraId="153966D5" w14:textId="77777777" w:rsidTr="008341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7" w:type="pct"/>
            <w:vAlign w:val="center"/>
            <w:hideMark/>
          </w:tcPr>
          <w:p w14:paraId="5AEF3975" w14:textId="77777777" w:rsidR="00767610" w:rsidRPr="00836F86" w:rsidRDefault="00767610" w:rsidP="00836F86">
            <w:pPr>
              <w:spacing w:before="60" w:after="60"/>
              <w:jc w:val="center"/>
              <w:rPr>
                <w:rFonts w:asciiTheme="minorHAnsi" w:eastAsia="MS Mincho" w:hAnsiTheme="minorHAnsi" w:cstheme="minorHAnsi"/>
                <w:color w:val="FFFFFF"/>
                <w:sz w:val="20"/>
                <w:szCs w:val="20"/>
              </w:rPr>
            </w:pPr>
            <w:r w:rsidRPr="009A39FF">
              <w:rPr>
                <w:rFonts w:asciiTheme="minorHAnsi" w:eastAsia="MS Mincho" w:hAnsiTheme="minorHAnsi" w:cstheme="minorHAnsi"/>
                <w:color w:val="FFFFFF"/>
                <w:sz w:val="20"/>
                <w:szCs w:val="20"/>
              </w:rPr>
              <w:t>Mandatory Qualification Item(s)</w:t>
            </w:r>
          </w:p>
        </w:tc>
        <w:tc>
          <w:tcPr>
            <w:tcW w:w="903" w:type="pct"/>
            <w:hideMark/>
          </w:tcPr>
          <w:p w14:paraId="08261FCC" w14:textId="0D9E4507" w:rsidR="007403BC" w:rsidRPr="008516E8" w:rsidRDefault="007403BC" w:rsidP="00E03CE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8516E8">
              <w:rPr>
                <w:rFonts w:asciiTheme="minorHAnsi" w:eastAsia="MS Mincho" w:hAnsiTheme="minorHAnsi" w:cstheme="minorHAnsi"/>
                <w:color w:val="FFFFFF"/>
                <w:sz w:val="20"/>
                <w:szCs w:val="20"/>
              </w:rPr>
              <w:t>Vendor Meets Qualification?</w:t>
            </w:r>
            <w:r>
              <w:rPr>
                <w:rFonts w:asciiTheme="minorHAnsi" w:eastAsia="MS Mincho" w:hAnsiTheme="minorHAnsi" w:cstheme="minorHAnsi"/>
                <w:b w:val="0"/>
                <w:bCs w:val="0"/>
                <w:color w:val="FFFFFF"/>
                <w:sz w:val="20"/>
                <w:szCs w:val="20"/>
              </w:rPr>
              <w:t xml:space="preserve"> Y/N</w:t>
            </w:r>
          </w:p>
        </w:tc>
        <w:tc>
          <w:tcPr>
            <w:tcW w:w="1730" w:type="pct"/>
          </w:tcPr>
          <w:p w14:paraId="06556612" w14:textId="2639BA67" w:rsidR="00767610" w:rsidRPr="00836F86" w:rsidRDefault="00767610" w:rsidP="00836F8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9A39FF">
              <w:rPr>
                <w:rFonts w:asciiTheme="minorHAnsi" w:eastAsia="MS Mincho" w:hAnsiTheme="minorHAnsi" w:cstheme="minorHAnsi"/>
                <w:color w:val="FFFFFF"/>
                <w:sz w:val="20"/>
                <w:szCs w:val="20"/>
              </w:rPr>
              <w:t>Provide A Brief Narrative to Demonstrate Fulfillment of Requirement</w:t>
            </w:r>
          </w:p>
        </w:tc>
      </w:tr>
      <w:tr w:rsidR="00767610" w:rsidRPr="00B25892" w14:paraId="4D294D2C" w14:textId="77777777" w:rsidTr="00834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hideMark/>
          </w:tcPr>
          <w:p w14:paraId="562AA5E3" w14:textId="58039737" w:rsidR="00767610" w:rsidRPr="009A39FF" w:rsidRDefault="00767610" w:rsidP="00836F86">
            <w:pPr>
              <w:spacing w:before="60" w:after="60"/>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The</w:t>
            </w:r>
            <w:r w:rsidR="00AB2064">
              <w:rPr>
                <w:rFonts w:asciiTheme="minorHAnsi" w:eastAsia="MS Mincho" w:hAnsiTheme="minorHAnsi" w:cstheme="minorHAnsi"/>
                <w:b w:val="0"/>
                <w:sz w:val="20"/>
                <w:szCs w:val="20"/>
              </w:rPr>
              <w:t xml:space="preserve"> </w:t>
            </w:r>
            <w:r w:rsidR="00132654">
              <w:rPr>
                <w:rFonts w:asciiTheme="minorHAnsi" w:eastAsia="MS Mincho" w:hAnsiTheme="minorHAnsi" w:cstheme="minorHAnsi"/>
                <w:b w:val="0"/>
                <w:sz w:val="20"/>
                <w:szCs w:val="20"/>
              </w:rPr>
              <w:t>techno</w:t>
            </w:r>
            <w:r w:rsidR="003060D9">
              <w:rPr>
                <w:rFonts w:asciiTheme="minorHAnsi" w:eastAsia="MS Mincho" w:hAnsiTheme="minorHAnsi" w:cstheme="minorHAnsi"/>
                <w:b w:val="0"/>
                <w:sz w:val="20"/>
                <w:szCs w:val="20"/>
              </w:rPr>
              <w:t xml:space="preserve">logy services </w:t>
            </w:r>
            <w:r w:rsidR="005731C4">
              <w:rPr>
                <w:rFonts w:asciiTheme="minorHAnsi" w:eastAsia="MS Mincho" w:hAnsiTheme="minorHAnsi" w:cstheme="minorHAnsi"/>
                <w:b w:val="0"/>
                <w:sz w:val="20"/>
                <w:szCs w:val="20"/>
              </w:rPr>
              <w:t xml:space="preserve">described in </w:t>
            </w:r>
            <w:r w:rsidR="00233656">
              <w:rPr>
                <w:rFonts w:asciiTheme="minorHAnsi" w:eastAsia="MS Mincho" w:hAnsiTheme="minorHAnsi" w:cstheme="minorHAnsi"/>
                <w:bCs w:val="0"/>
                <w:sz w:val="20"/>
                <w:szCs w:val="20"/>
              </w:rPr>
              <w:t>S</w:t>
            </w:r>
            <w:r w:rsidR="005731C4" w:rsidRPr="00233656">
              <w:rPr>
                <w:rFonts w:asciiTheme="minorHAnsi" w:eastAsia="MS Mincho" w:hAnsiTheme="minorHAnsi" w:cstheme="minorHAnsi"/>
                <w:bCs w:val="0"/>
                <w:sz w:val="20"/>
                <w:szCs w:val="20"/>
              </w:rPr>
              <w:t>ection</w:t>
            </w:r>
            <w:r w:rsidR="005731C4" w:rsidRPr="00233656">
              <w:rPr>
                <w:rFonts w:asciiTheme="minorHAnsi" w:eastAsia="MS Mincho" w:hAnsiTheme="minorHAnsi" w:cstheme="minorHAnsi"/>
                <w:sz w:val="20"/>
                <w:szCs w:val="20"/>
              </w:rPr>
              <w:t xml:space="preserve"> 4</w:t>
            </w:r>
            <w:r w:rsidR="00D27A7F" w:rsidRPr="00233656">
              <w:rPr>
                <w:rFonts w:asciiTheme="minorHAnsi" w:eastAsia="MS Mincho" w:hAnsiTheme="minorHAnsi" w:cstheme="minorHAnsi"/>
                <w:sz w:val="20"/>
                <w:szCs w:val="20"/>
              </w:rPr>
              <w:t>.2.2</w:t>
            </w:r>
            <w:r w:rsidR="00D27A7F">
              <w:rPr>
                <w:rFonts w:asciiTheme="minorHAnsi" w:eastAsia="MS Mincho" w:hAnsiTheme="minorHAnsi" w:cstheme="minorHAnsi"/>
                <w:b w:val="0"/>
                <w:sz w:val="20"/>
                <w:szCs w:val="20"/>
              </w:rPr>
              <w:t xml:space="preserve"> </w:t>
            </w:r>
            <w:r w:rsidR="003060D9">
              <w:rPr>
                <w:rFonts w:asciiTheme="minorHAnsi" w:eastAsia="MS Mincho" w:hAnsiTheme="minorHAnsi" w:cstheme="minorHAnsi"/>
                <w:b w:val="0"/>
                <w:sz w:val="20"/>
                <w:szCs w:val="20"/>
              </w:rPr>
              <w:t xml:space="preserve">must be provided by </w:t>
            </w:r>
            <w:r w:rsidR="00CB2633">
              <w:rPr>
                <w:rFonts w:asciiTheme="minorHAnsi" w:eastAsia="MS Mincho" w:hAnsiTheme="minorHAnsi" w:cstheme="minorHAnsi"/>
                <w:b w:val="0"/>
                <w:sz w:val="20"/>
                <w:szCs w:val="20"/>
              </w:rPr>
              <w:t>vendor(s) that</w:t>
            </w:r>
            <w:r w:rsidRPr="009A39FF">
              <w:rPr>
                <w:rFonts w:asciiTheme="minorHAnsi" w:eastAsia="MS Mincho" w:hAnsiTheme="minorHAnsi" w:cstheme="minorHAnsi"/>
                <w:b w:val="0"/>
                <w:sz w:val="20"/>
                <w:szCs w:val="20"/>
              </w:rPr>
              <w:t xml:space="preserve"> have </w:t>
            </w:r>
            <w:r w:rsidR="006423E7">
              <w:rPr>
                <w:rFonts w:asciiTheme="minorHAnsi" w:eastAsia="MS Mincho" w:hAnsiTheme="minorHAnsi" w:cstheme="minorHAnsi"/>
                <w:b w:val="0"/>
                <w:sz w:val="20"/>
                <w:szCs w:val="20"/>
              </w:rPr>
              <w:t xml:space="preserve">experience </w:t>
            </w:r>
            <w:r w:rsidR="00196335">
              <w:rPr>
                <w:rFonts w:asciiTheme="minorHAnsi" w:eastAsia="MS Mincho" w:hAnsiTheme="minorHAnsi" w:cstheme="minorHAnsi"/>
                <w:b w:val="0"/>
                <w:sz w:val="20"/>
                <w:szCs w:val="20"/>
              </w:rPr>
              <w:t>in</w:t>
            </w:r>
            <w:r w:rsidR="0070111E">
              <w:rPr>
                <w:rFonts w:asciiTheme="minorHAnsi" w:eastAsia="MS Mincho" w:hAnsiTheme="minorHAnsi" w:cstheme="minorHAnsi"/>
                <w:b w:val="0"/>
                <w:sz w:val="20"/>
                <w:szCs w:val="20"/>
              </w:rPr>
              <w:t xml:space="preserve"> </w:t>
            </w:r>
            <w:r w:rsidR="00BB565D">
              <w:rPr>
                <w:rFonts w:asciiTheme="minorHAnsi" w:eastAsia="MS Mincho" w:hAnsiTheme="minorHAnsi" w:cstheme="minorHAnsi"/>
                <w:b w:val="0"/>
                <w:sz w:val="20"/>
                <w:szCs w:val="20"/>
              </w:rPr>
              <w:t>health information exchange</w:t>
            </w:r>
            <w:r w:rsidR="008865E1">
              <w:rPr>
                <w:rFonts w:asciiTheme="minorHAnsi" w:eastAsia="MS Mincho" w:hAnsiTheme="minorHAnsi" w:cstheme="minorHAnsi"/>
                <w:b w:val="0"/>
                <w:sz w:val="20"/>
                <w:szCs w:val="20"/>
              </w:rPr>
              <w:t>(s)</w:t>
            </w:r>
            <w:r w:rsidR="00BB565D">
              <w:rPr>
                <w:rFonts w:asciiTheme="minorHAnsi" w:eastAsia="MS Mincho" w:hAnsiTheme="minorHAnsi" w:cstheme="minorHAnsi"/>
                <w:b w:val="0"/>
                <w:sz w:val="20"/>
                <w:szCs w:val="20"/>
              </w:rPr>
              <w:t xml:space="preserve"> </w:t>
            </w:r>
            <w:r w:rsidRPr="009A39FF">
              <w:rPr>
                <w:rFonts w:asciiTheme="minorHAnsi" w:eastAsia="MS Mincho" w:hAnsiTheme="minorHAnsi" w:cstheme="minorHAnsi"/>
                <w:b w:val="0"/>
                <w:sz w:val="20"/>
                <w:szCs w:val="20"/>
              </w:rPr>
              <w:t>of similar size</w:t>
            </w:r>
            <w:r w:rsidR="004D371E">
              <w:rPr>
                <w:rFonts w:asciiTheme="minorHAnsi" w:eastAsia="MS Mincho" w:hAnsiTheme="minorHAnsi" w:cstheme="minorHAnsi"/>
                <w:b w:val="0"/>
                <w:sz w:val="20"/>
                <w:szCs w:val="20"/>
              </w:rPr>
              <w:t xml:space="preserve"> and</w:t>
            </w:r>
            <w:r w:rsidRPr="009A39FF">
              <w:rPr>
                <w:rFonts w:asciiTheme="minorHAnsi" w:eastAsia="MS Mincho" w:hAnsiTheme="minorHAnsi" w:cstheme="minorHAnsi"/>
                <w:b w:val="0"/>
                <w:sz w:val="20"/>
                <w:szCs w:val="20"/>
              </w:rPr>
              <w:t xml:space="preserve"> scope as described in this RFP.</w:t>
            </w:r>
          </w:p>
        </w:tc>
        <w:tc>
          <w:tcPr>
            <w:tcW w:w="903" w:type="pct"/>
            <w:hideMark/>
          </w:tcPr>
          <w:p w14:paraId="3D2ACB42" w14:textId="0BCAE64D" w:rsidR="00767610" w:rsidRPr="009A39FF" w:rsidRDefault="00767610" w:rsidP="0089639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730" w:type="pct"/>
            <w:hideMark/>
          </w:tcPr>
          <w:p w14:paraId="65D59105" w14:textId="702C7C21" w:rsidR="00767610" w:rsidRPr="009A39FF" w:rsidRDefault="00767610" w:rsidP="0089639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767610" w:rsidRPr="00B25892" w14:paraId="65667B65" w14:textId="77777777" w:rsidTr="008341E2">
        <w:tc>
          <w:tcPr>
            <w:cnfStyle w:val="001000000000" w:firstRow="0" w:lastRow="0" w:firstColumn="1" w:lastColumn="0" w:oddVBand="0" w:evenVBand="0" w:oddHBand="0" w:evenHBand="0" w:firstRowFirstColumn="0" w:firstRowLastColumn="0" w:lastRowFirstColumn="0" w:lastRowLastColumn="0"/>
            <w:tcW w:w="2367" w:type="pct"/>
            <w:hideMark/>
          </w:tcPr>
          <w:p w14:paraId="44828174" w14:textId="56715164" w:rsidR="00767610" w:rsidRPr="009A39FF" w:rsidRDefault="00767610" w:rsidP="00836F86">
            <w:pPr>
              <w:spacing w:before="60" w:after="60"/>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vendor must </w:t>
            </w:r>
            <w:r w:rsidR="0006469B">
              <w:rPr>
                <w:rFonts w:asciiTheme="minorHAnsi" w:eastAsia="MS Mincho" w:hAnsiTheme="minorHAnsi" w:cstheme="minorHAnsi"/>
                <w:b w:val="0"/>
                <w:sz w:val="20"/>
                <w:szCs w:val="20"/>
              </w:rPr>
              <w:t>have the ability to staff the organization and contract with subcontractors to meet PRMP’s HIE program objectives</w:t>
            </w:r>
            <w:r w:rsidR="00074F0D">
              <w:rPr>
                <w:rFonts w:asciiTheme="minorHAnsi" w:eastAsia="MS Mincho" w:hAnsiTheme="minorHAnsi" w:cstheme="minorHAnsi"/>
                <w:b w:val="0"/>
                <w:sz w:val="20"/>
                <w:szCs w:val="20"/>
              </w:rPr>
              <w:t xml:space="preserve"> and associated timelines</w:t>
            </w:r>
            <w:r w:rsidR="0006469B">
              <w:rPr>
                <w:rFonts w:asciiTheme="minorHAnsi" w:eastAsia="MS Mincho" w:hAnsiTheme="minorHAnsi" w:cstheme="minorHAnsi"/>
                <w:b w:val="0"/>
                <w:sz w:val="20"/>
                <w:szCs w:val="20"/>
              </w:rPr>
              <w:t>.</w:t>
            </w:r>
          </w:p>
        </w:tc>
        <w:tc>
          <w:tcPr>
            <w:tcW w:w="903" w:type="pct"/>
            <w:hideMark/>
          </w:tcPr>
          <w:p w14:paraId="5DAD0B44" w14:textId="01F1D9C4" w:rsidR="00767610" w:rsidRPr="009A39FF" w:rsidRDefault="00767610" w:rsidP="0089639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730" w:type="pct"/>
            <w:hideMark/>
          </w:tcPr>
          <w:p w14:paraId="641DC6F4" w14:textId="77777777" w:rsidR="00767610" w:rsidRPr="009A39FF" w:rsidRDefault="00767610" w:rsidP="0089639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767610" w:rsidRPr="00B25892" w14:paraId="0ED5FD5B" w14:textId="77777777" w:rsidTr="00834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2798BC17" w14:textId="4A812E44" w:rsidR="00767610" w:rsidRPr="009A39FF" w:rsidRDefault="00176162" w:rsidP="00836F86">
            <w:pPr>
              <w:spacing w:before="60" w:after="60"/>
              <w:rPr>
                <w:rFonts w:asciiTheme="minorHAnsi" w:eastAsia="MS Mincho" w:hAnsiTheme="minorHAnsi" w:cstheme="minorHAnsi"/>
                <w:b w:val="0"/>
                <w:sz w:val="20"/>
                <w:szCs w:val="20"/>
              </w:rPr>
            </w:pPr>
            <w:r>
              <w:rPr>
                <w:rFonts w:asciiTheme="minorHAnsi" w:eastAsia="MS Mincho" w:hAnsiTheme="minorHAnsi" w:cstheme="minorHAnsi"/>
                <w:b w:val="0"/>
                <w:sz w:val="20"/>
                <w:szCs w:val="20"/>
              </w:rPr>
              <w:t xml:space="preserve">The vendor must have </w:t>
            </w:r>
            <w:r w:rsidR="0099768E">
              <w:rPr>
                <w:rFonts w:asciiTheme="minorHAnsi" w:eastAsia="MS Mincho" w:hAnsiTheme="minorHAnsi" w:cstheme="minorHAnsi"/>
                <w:b w:val="0"/>
                <w:sz w:val="20"/>
                <w:szCs w:val="20"/>
              </w:rPr>
              <w:t>demonstrated</w:t>
            </w:r>
            <w:r>
              <w:rPr>
                <w:rFonts w:asciiTheme="minorHAnsi" w:eastAsia="MS Mincho" w:hAnsiTheme="minorHAnsi" w:cstheme="minorHAnsi"/>
                <w:b w:val="0"/>
                <w:sz w:val="20"/>
                <w:szCs w:val="20"/>
              </w:rPr>
              <w:t xml:space="preserve"> experience </w:t>
            </w:r>
            <w:r w:rsidR="006B7A5F">
              <w:rPr>
                <w:rFonts w:asciiTheme="minorHAnsi" w:eastAsia="MS Mincho" w:hAnsiTheme="minorHAnsi" w:cstheme="minorHAnsi"/>
                <w:b w:val="0"/>
                <w:sz w:val="20"/>
                <w:szCs w:val="20"/>
              </w:rPr>
              <w:t xml:space="preserve">operating and managing </w:t>
            </w:r>
            <w:r w:rsidR="00E02C05">
              <w:rPr>
                <w:rFonts w:asciiTheme="minorHAnsi" w:eastAsia="MS Mincho" w:hAnsiTheme="minorHAnsi" w:cstheme="minorHAnsi"/>
                <w:b w:val="0"/>
                <w:sz w:val="20"/>
                <w:szCs w:val="20"/>
              </w:rPr>
              <w:t>health system services including the direct provision of services to the provider community.</w:t>
            </w:r>
          </w:p>
        </w:tc>
        <w:tc>
          <w:tcPr>
            <w:tcW w:w="903" w:type="pct"/>
          </w:tcPr>
          <w:p w14:paraId="29749580" w14:textId="363BD3C0" w:rsidR="00767610" w:rsidRPr="009A39FF" w:rsidRDefault="00767610" w:rsidP="0089639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730" w:type="pct"/>
          </w:tcPr>
          <w:p w14:paraId="7C241210" w14:textId="77777777" w:rsidR="00767610" w:rsidRPr="009A39FF" w:rsidRDefault="00767610" w:rsidP="0089639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767610" w:rsidRPr="00B25892" w14:paraId="3A21756D" w14:textId="77777777" w:rsidTr="008341E2">
        <w:tc>
          <w:tcPr>
            <w:cnfStyle w:val="001000000000" w:firstRow="0" w:lastRow="0" w:firstColumn="1" w:lastColumn="0" w:oddVBand="0" w:evenVBand="0" w:oddHBand="0" w:evenHBand="0" w:firstRowFirstColumn="0" w:firstRowLastColumn="0" w:lastRowFirstColumn="0" w:lastRowLastColumn="0"/>
            <w:tcW w:w="2367" w:type="pct"/>
          </w:tcPr>
          <w:p w14:paraId="4265442E" w14:textId="3F0A7DB5" w:rsidR="00767610" w:rsidRPr="009A39FF" w:rsidRDefault="00767610" w:rsidP="00836F86">
            <w:pPr>
              <w:spacing w:before="60" w:after="60"/>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vendor must include at least three references from projects performed within the last </w:t>
            </w:r>
            <w:r w:rsidR="006934A8">
              <w:rPr>
                <w:rFonts w:asciiTheme="minorHAnsi" w:eastAsia="MS Mincho" w:hAnsiTheme="minorHAnsi" w:cstheme="minorHAnsi"/>
                <w:b w:val="0"/>
                <w:sz w:val="20"/>
                <w:szCs w:val="20"/>
              </w:rPr>
              <w:t>two</w:t>
            </w:r>
            <w:r w:rsidR="006934A8" w:rsidRPr="009A39FF">
              <w:rPr>
                <w:rFonts w:asciiTheme="minorHAnsi" w:eastAsia="MS Mincho" w:hAnsiTheme="minorHAnsi" w:cstheme="minorHAnsi"/>
                <w:b w:val="0"/>
                <w:sz w:val="20"/>
                <w:szCs w:val="20"/>
              </w:rPr>
              <w:t xml:space="preserve"> </w:t>
            </w:r>
            <w:r w:rsidRPr="009A39FF">
              <w:rPr>
                <w:rFonts w:asciiTheme="minorHAnsi" w:eastAsia="MS Mincho" w:hAnsiTheme="minorHAnsi" w:cstheme="minorHAnsi"/>
                <w:b w:val="0"/>
                <w:sz w:val="20"/>
                <w:szCs w:val="20"/>
              </w:rPr>
              <w:t xml:space="preserve">years that demonstrate the vendor’s ability to perform the scope of the work described in this RFP. The vendor must include refences from three different projects/clients </w:t>
            </w:r>
            <w:r w:rsidRPr="009A39FF">
              <w:rPr>
                <w:rFonts w:asciiTheme="minorHAnsi" w:eastAsia="MS Mincho" w:hAnsiTheme="minorHAnsi" w:cstheme="minorHAnsi"/>
                <w:b w:val="0"/>
                <w:bCs w:val="0"/>
                <w:sz w:val="20"/>
                <w:szCs w:val="20"/>
              </w:rPr>
              <w:t>that provide details on the vendor’s</w:t>
            </w:r>
            <w:r w:rsidRPr="009A39FF">
              <w:rPr>
                <w:rFonts w:asciiTheme="minorHAnsi" w:eastAsia="MS Mincho" w:hAnsiTheme="minorHAnsi" w:cstheme="minorHAnsi"/>
                <w:b w:val="0"/>
                <w:sz w:val="20"/>
                <w:szCs w:val="20"/>
              </w:rPr>
              <w:t xml:space="preserve"> experience operating and managing a </w:t>
            </w:r>
            <w:r w:rsidR="008353B7">
              <w:rPr>
                <w:rFonts w:asciiTheme="minorHAnsi" w:eastAsia="MS Mincho" w:hAnsiTheme="minorHAnsi" w:cstheme="minorHAnsi"/>
                <w:b w:val="0"/>
                <w:sz w:val="20"/>
                <w:szCs w:val="20"/>
              </w:rPr>
              <w:t>health information exchange</w:t>
            </w:r>
            <w:r w:rsidR="002F1772">
              <w:rPr>
                <w:rFonts w:asciiTheme="minorHAnsi" w:eastAsia="MS Mincho" w:hAnsiTheme="minorHAnsi" w:cstheme="minorHAnsi"/>
                <w:b w:val="0"/>
                <w:sz w:val="20"/>
                <w:szCs w:val="20"/>
              </w:rPr>
              <w:t xml:space="preserve"> </w:t>
            </w:r>
            <w:r w:rsidR="00BB565D">
              <w:rPr>
                <w:rFonts w:asciiTheme="minorHAnsi" w:eastAsia="MS Mincho" w:hAnsiTheme="minorHAnsi" w:cstheme="minorHAnsi"/>
                <w:b w:val="0"/>
                <w:sz w:val="20"/>
                <w:szCs w:val="20"/>
              </w:rPr>
              <w:t>or</w:t>
            </w:r>
            <w:r w:rsidR="002F1772">
              <w:rPr>
                <w:rFonts w:asciiTheme="minorHAnsi" w:eastAsia="MS Mincho" w:hAnsiTheme="minorHAnsi" w:cstheme="minorHAnsi"/>
                <w:b w:val="0"/>
                <w:sz w:val="20"/>
                <w:szCs w:val="20"/>
              </w:rPr>
              <w:t xml:space="preserve"> related services</w:t>
            </w:r>
            <w:r w:rsidRPr="009A39FF">
              <w:rPr>
                <w:rFonts w:asciiTheme="minorHAnsi" w:eastAsia="MS Mincho" w:hAnsiTheme="minorHAnsi" w:cstheme="minorHAnsi"/>
                <w:b w:val="0"/>
                <w:sz w:val="20"/>
                <w:szCs w:val="20"/>
              </w:rPr>
              <w:t>.</w:t>
            </w:r>
          </w:p>
        </w:tc>
        <w:tc>
          <w:tcPr>
            <w:tcW w:w="903" w:type="pct"/>
          </w:tcPr>
          <w:p w14:paraId="41F5746C" w14:textId="30373249" w:rsidR="00767610" w:rsidRPr="009A39FF" w:rsidRDefault="00767610" w:rsidP="0089639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730" w:type="pct"/>
          </w:tcPr>
          <w:p w14:paraId="5230EDD9" w14:textId="77777777" w:rsidR="00767610" w:rsidRPr="009A39FF" w:rsidRDefault="00767610" w:rsidP="0089639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896713" w:rsidRPr="00B25892" w14:paraId="53061183" w14:textId="77777777" w:rsidTr="00834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54C01634" w14:textId="60A820B6" w:rsidR="00896713" w:rsidRPr="009561CC" w:rsidRDefault="00896713" w:rsidP="00836F86">
            <w:pPr>
              <w:spacing w:before="60" w:after="60"/>
              <w:rPr>
                <w:rFonts w:asciiTheme="minorHAnsi" w:eastAsia="MS Mincho" w:hAnsiTheme="minorHAnsi" w:cstheme="minorHAnsi"/>
                <w:b w:val="0"/>
                <w:sz w:val="20"/>
                <w:szCs w:val="20"/>
              </w:rPr>
            </w:pPr>
            <w:r>
              <w:rPr>
                <w:rFonts w:asciiTheme="minorHAnsi" w:eastAsia="MS Mincho" w:hAnsiTheme="minorHAnsi" w:cstheme="minorHAnsi"/>
                <w:b w:val="0"/>
                <w:bCs w:val="0"/>
                <w:sz w:val="20"/>
                <w:szCs w:val="20"/>
              </w:rPr>
              <w:t xml:space="preserve">The vendor must commit to staff and operate a place of business in the Commonwealth during any contract resulting from this procurement process and </w:t>
            </w:r>
            <w:r w:rsidR="003B6909">
              <w:rPr>
                <w:rFonts w:asciiTheme="minorHAnsi" w:eastAsia="MS Mincho" w:hAnsiTheme="minorHAnsi" w:cstheme="minorHAnsi"/>
                <w:b w:val="0"/>
                <w:bCs w:val="0"/>
                <w:sz w:val="20"/>
                <w:szCs w:val="20"/>
              </w:rPr>
              <w:t xml:space="preserve">help </w:t>
            </w:r>
            <w:r>
              <w:rPr>
                <w:rFonts w:asciiTheme="minorHAnsi" w:eastAsia="MS Mincho" w:hAnsiTheme="minorHAnsi" w:cstheme="minorHAnsi"/>
                <w:b w:val="0"/>
                <w:bCs w:val="0"/>
                <w:sz w:val="20"/>
                <w:szCs w:val="20"/>
              </w:rPr>
              <w:t xml:space="preserve">ensure local support for outreach and onboarding, HIE participant education, representation on governance bodies, and help desk functions. </w:t>
            </w:r>
            <w:r w:rsidR="00587A91">
              <w:rPr>
                <w:rFonts w:asciiTheme="minorHAnsi" w:eastAsia="MS Mincho" w:hAnsiTheme="minorHAnsi" w:cstheme="minorHAnsi"/>
                <w:b w:val="0"/>
                <w:bCs w:val="0"/>
                <w:sz w:val="20"/>
                <w:szCs w:val="20"/>
              </w:rPr>
              <w:t>Operations in</w:t>
            </w:r>
            <w:r>
              <w:rPr>
                <w:rFonts w:asciiTheme="minorHAnsi" w:eastAsia="MS Mincho" w:hAnsiTheme="minorHAnsi" w:cstheme="minorHAnsi"/>
                <w:b w:val="0"/>
                <w:bCs w:val="0"/>
                <w:sz w:val="20"/>
                <w:szCs w:val="20"/>
              </w:rPr>
              <w:t xml:space="preserve"> Spanish and English </w:t>
            </w:r>
            <w:r w:rsidR="003B6909">
              <w:rPr>
                <w:rFonts w:asciiTheme="minorHAnsi" w:eastAsia="MS Mincho" w:hAnsiTheme="minorHAnsi" w:cstheme="minorHAnsi"/>
                <w:b w:val="0"/>
                <w:bCs w:val="0"/>
                <w:sz w:val="20"/>
                <w:szCs w:val="20"/>
              </w:rPr>
              <w:t>are</w:t>
            </w:r>
            <w:r>
              <w:rPr>
                <w:rFonts w:asciiTheme="minorHAnsi" w:eastAsia="MS Mincho" w:hAnsiTheme="minorHAnsi" w:cstheme="minorHAnsi"/>
                <w:b w:val="0"/>
                <w:bCs w:val="0"/>
                <w:sz w:val="20"/>
                <w:szCs w:val="20"/>
              </w:rPr>
              <w:t xml:space="preserve"> a part of </w:t>
            </w:r>
            <w:r w:rsidR="00DE5DC3">
              <w:rPr>
                <w:rFonts w:asciiTheme="minorHAnsi" w:eastAsia="MS Mincho" w:hAnsiTheme="minorHAnsi" w:cstheme="minorHAnsi"/>
                <w:b w:val="0"/>
                <w:bCs w:val="0"/>
                <w:sz w:val="20"/>
                <w:szCs w:val="20"/>
              </w:rPr>
              <w:t xml:space="preserve">meeting this </w:t>
            </w:r>
            <w:r>
              <w:rPr>
                <w:rFonts w:asciiTheme="minorHAnsi" w:eastAsia="MS Mincho" w:hAnsiTheme="minorHAnsi" w:cstheme="minorHAnsi"/>
                <w:b w:val="0"/>
                <w:bCs w:val="0"/>
                <w:sz w:val="20"/>
                <w:szCs w:val="20"/>
              </w:rPr>
              <w:t>requirement.</w:t>
            </w:r>
          </w:p>
        </w:tc>
        <w:tc>
          <w:tcPr>
            <w:tcW w:w="903" w:type="pct"/>
          </w:tcPr>
          <w:p w14:paraId="6820B48F" w14:textId="5090FA94" w:rsidR="00896713" w:rsidRPr="009A39FF" w:rsidRDefault="00896713" w:rsidP="0089671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1730" w:type="pct"/>
          </w:tcPr>
          <w:p w14:paraId="4593D2AD" w14:textId="18297962" w:rsidR="00896713" w:rsidRPr="009A39FF" w:rsidRDefault="00896713" w:rsidP="0089671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E5273B" w:rsidRPr="00B25892" w14:paraId="44DC8495" w14:textId="77777777" w:rsidTr="008341E2">
        <w:tc>
          <w:tcPr>
            <w:cnfStyle w:val="001000000000" w:firstRow="0" w:lastRow="0" w:firstColumn="1" w:lastColumn="0" w:oddVBand="0" w:evenVBand="0" w:oddHBand="0" w:evenHBand="0" w:firstRowFirstColumn="0" w:firstRowLastColumn="0" w:lastRowFirstColumn="0" w:lastRowLastColumn="0"/>
            <w:tcW w:w="2367" w:type="pct"/>
          </w:tcPr>
          <w:p w14:paraId="2C0BDE14" w14:textId="42AF37BC" w:rsidR="00E5273B" w:rsidRPr="00762539" w:rsidRDefault="00E5273B" w:rsidP="00836F86">
            <w:pPr>
              <w:spacing w:before="60" w:after="60"/>
              <w:rPr>
                <w:rFonts w:asciiTheme="minorHAnsi" w:eastAsia="MS Mincho" w:hAnsiTheme="minorHAnsi" w:cstheme="minorHAnsi"/>
                <w:b w:val="0"/>
                <w:bCs w:val="0"/>
                <w:sz w:val="20"/>
                <w:szCs w:val="20"/>
              </w:rPr>
            </w:pPr>
            <w:r w:rsidRPr="00762539">
              <w:rPr>
                <w:rFonts w:asciiTheme="minorHAnsi" w:eastAsia="MS Mincho" w:hAnsiTheme="minorHAnsi" w:cstheme="minorHAnsi"/>
                <w:b w:val="0"/>
                <w:bCs w:val="0"/>
                <w:sz w:val="20"/>
                <w:szCs w:val="20"/>
              </w:rPr>
              <w:lastRenderedPageBreak/>
              <w:t xml:space="preserve">The vendor must agree to meet all federal and local requirements related to the operation of a Medicaid Enterprise system and the management and distribution of private health information. </w:t>
            </w:r>
          </w:p>
        </w:tc>
        <w:tc>
          <w:tcPr>
            <w:tcW w:w="903" w:type="pct"/>
          </w:tcPr>
          <w:p w14:paraId="5E537B35" w14:textId="64E9D45C" w:rsidR="00E5273B" w:rsidRPr="009A39FF" w:rsidRDefault="00E5273B" w:rsidP="00E5273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p>
        </w:tc>
        <w:tc>
          <w:tcPr>
            <w:tcW w:w="1730" w:type="pct"/>
          </w:tcPr>
          <w:p w14:paraId="0011C5C3" w14:textId="07955435" w:rsidR="00E5273B" w:rsidRPr="009A39FF" w:rsidRDefault="00E5273B" w:rsidP="00E5273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bl>
    <w:p w14:paraId="2AE423B9" w14:textId="2EFC6576" w:rsidR="4857D432" w:rsidRDefault="4857D432" w:rsidP="00733360">
      <w:pPr>
        <w:pStyle w:val="Heading2"/>
        <w:pageBreakBefore/>
        <w:spacing w:after="0"/>
        <w:jc w:val="both"/>
      </w:pPr>
    </w:p>
    <w:sectPr w:rsidR="4857D432" w:rsidSect="00422E6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4A44" w14:textId="77777777" w:rsidR="00422E60" w:rsidRDefault="00422E60" w:rsidP="003D01DD">
      <w:r>
        <w:separator/>
      </w:r>
    </w:p>
  </w:endnote>
  <w:endnote w:type="continuationSeparator" w:id="0">
    <w:p w14:paraId="145BD74F" w14:textId="77777777" w:rsidR="00422E60" w:rsidRDefault="00422E60" w:rsidP="003D01DD">
      <w:r>
        <w:continuationSeparator/>
      </w:r>
    </w:p>
  </w:endnote>
  <w:endnote w:type="continuationNotice" w:id="1">
    <w:p w14:paraId="4A1CC359" w14:textId="77777777" w:rsidR="00422E60" w:rsidRDefault="00422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B359" w14:textId="77777777" w:rsidR="00422E60" w:rsidRDefault="00422E60" w:rsidP="003D01DD">
      <w:r>
        <w:separator/>
      </w:r>
    </w:p>
  </w:footnote>
  <w:footnote w:type="continuationSeparator" w:id="0">
    <w:p w14:paraId="5FD3C825" w14:textId="77777777" w:rsidR="00422E60" w:rsidRDefault="00422E60" w:rsidP="003D01DD">
      <w:r>
        <w:continuationSeparator/>
      </w:r>
    </w:p>
  </w:footnote>
  <w:footnote w:type="continuationNotice" w:id="1">
    <w:p w14:paraId="00D039FD" w14:textId="77777777" w:rsidR="00422E60" w:rsidRDefault="00422E6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2E60"/>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87E"/>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60"/>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CE3"/>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46"/>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873"/>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Props1.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4</cp:revision>
  <cp:lastPrinted>2024-01-08T18:28:00Z</cp:lastPrinted>
  <dcterms:created xsi:type="dcterms:W3CDTF">2024-02-09T14:11:00Z</dcterms:created>
  <dcterms:modified xsi:type="dcterms:W3CDTF">2024-02-09T14:22:00Z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